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FE" w:rsidRPr="002878D3" w:rsidRDefault="002833FE" w:rsidP="002833FE">
      <w:pPr>
        <w:spacing w:line="360" w:lineRule="auto"/>
        <w:jc w:val="center"/>
        <w:rPr>
          <w:rFonts w:eastAsia="宋体" w:hAnsi="Calibri" w:cs="Times New Roman"/>
          <w:b/>
          <w:sz w:val="32"/>
          <w:szCs w:val="32"/>
        </w:rPr>
      </w:pPr>
      <w:bookmarkStart w:id="0" w:name="_GoBack"/>
      <w:bookmarkEnd w:id="0"/>
      <w:r w:rsidRPr="002878D3">
        <w:rPr>
          <w:rFonts w:eastAsia="宋体" w:hAnsi="Calibri" w:cs="Times New Roman" w:hint="eastAsia"/>
          <w:b/>
          <w:sz w:val="32"/>
          <w:szCs w:val="32"/>
        </w:rPr>
        <w:t>“一带一路”背景下西部地区入境旅游趋势与发展研究</w:t>
      </w:r>
    </w:p>
    <w:p w:rsidR="00581375" w:rsidRPr="001E2FB6" w:rsidRDefault="007C3109" w:rsidP="001E2FB6">
      <w:pPr>
        <w:spacing w:line="360" w:lineRule="auto"/>
        <w:jc w:val="center"/>
        <w:rPr>
          <w:rFonts w:eastAsia="宋体" w:hAnsi="Calibri" w:cs="Times New Roman"/>
          <w:b/>
        </w:rPr>
      </w:pPr>
      <w:r w:rsidRPr="007C3109">
        <w:rPr>
          <w:rFonts w:eastAsia="宋体" w:hAnsi="Calibri" w:cs="Times New Roman" w:hint="eastAsia"/>
          <w:b/>
        </w:rPr>
        <w:t>把多勋</w:t>
      </w:r>
      <w:r w:rsidR="00D1200A">
        <w:rPr>
          <w:rFonts w:eastAsia="宋体" w:hAnsi="Calibri" w:cs="Times New Roman" w:hint="eastAsia"/>
          <w:b/>
        </w:rPr>
        <w:t>，</w:t>
      </w:r>
      <w:r w:rsidRPr="007C3109">
        <w:rPr>
          <w:rFonts w:eastAsia="宋体" w:hAnsi="Calibri" w:cs="Times New Roman" w:hint="eastAsia"/>
          <w:b/>
        </w:rPr>
        <w:t>温倩</w:t>
      </w:r>
    </w:p>
    <w:p w:rsidR="00AA2F67" w:rsidRDefault="00D47C73" w:rsidP="002833FE">
      <w:pPr>
        <w:spacing w:line="360" w:lineRule="auto"/>
        <w:jc w:val="center"/>
        <w:rPr>
          <w:rFonts w:eastAsia="宋体" w:hAnsi="Calibri" w:cs="Times New Roman"/>
          <w:b/>
          <w:sz w:val="22"/>
        </w:rPr>
      </w:pPr>
      <w:r w:rsidRPr="00403FFA">
        <w:rPr>
          <w:rFonts w:eastAsia="宋体" w:hAnsi="Calibri" w:cs="Times New Roman"/>
          <w:b/>
          <w:sz w:val="22"/>
        </w:rPr>
        <w:t xml:space="preserve">The </w:t>
      </w:r>
      <w:r w:rsidRPr="00D47C73">
        <w:rPr>
          <w:rFonts w:eastAsia="宋体" w:hAnsi="Calibri" w:cs="Times New Roman"/>
          <w:b/>
          <w:sz w:val="22"/>
        </w:rPr>
        <w:t>Research</w:t>
      </w:r>
      <w:r w:rsidRPr="00403FFA">
        <w:rPr>
          <w:rFonts w:eastAsia="宋体" w:hAnsi="Calibri" w:cs="Times New Roman" w:hint="eastAsia"/>
          <w:b/>
          <w:sz w:val="22"/>
        </w:rPr>
        <w:t xml:space="preserve"> </w:t>
      </w:r>
      <w:r>
        <w:rPr>
          <w:rFonts w:eastAsia="宋体" w:hAnsi="Calibri" w:cs="Times New Roman" w:hint="eastAsia"/>
          <w:b/>
          <w:sz w:val="22"/>
        </w:rPr>
        <w:t xml:space="preserve">of </w:t>
      </w:r>
      <w:r w:rsidR="00581375" w:rsidRPr="00403FFA">
        <w:rPr>
          <w:rFonts w:eastAsia="宋体" w:hAnsi="Calibri" w:cs="Times New Roman" w:hint="eastAsia"/>
          <w:b/>
          <w:sz w:val="22"/>
        </w:rPr>
        <w:t>Economic Trend</w:t>
      </w:r>
      <w:r w:rsidR="00D46F3D" w:rsidRPr="00403FFA">
        <w:rPr>
          <w:rFonts w:eastAsia="宋体" w:hAnsi="Calibri" w:cs="Times New Roman" w:hint="eastAsia"/>
          <w:b/>
          <w:sz w:val="22"/>
        </w:rPr>
        <w:t xml:space="preserve"> and</w:t>
      </w:r>
      <w:r w:rsidR="00013E71" w:rsidRPr="00403FFA">
        <w:rPr>
          <w:rFonts w:eastAsia="宋体" w:hAnsi="Calibri" w:cs="Times New Roman" w:hint="eastAsia"/>
          <w:b/>
          <w:sz w:val="22"/>
        </w:rPr>
        <w:t xml:space="preserve"> </w:t>
      </w:r>
      <w:r w:rsidR="00D46F3D" w:rsidRPr="00403FFA">
        <w:rPr>
          <w:rFonts w:eastAsia="宋体" w:hAnsi="Calibri" w:cs="Times New Roman" w:hint="eastAsia"/>
          <w:b/>
          <w:sz w:val="22"/>
        </w:rPr>
        <w:t xml:space="preserve">Development of </w:t>
      </w:r>
      <w:r w:rsidR="00013E71" w:rsidRPr="00403FFA">
        <w:rPr>
          <w:rFonts w:eastAsia="宋体" w:hAnsi="Calibri" w:cs="Times New Roman" w:hint="eastAsia"/>
          <w:b/>
          <w:sz w:val="22"/>
        </w:rPr>
        <w:t xml:space="preserve">Inbound Tourism </w:t>
      </w:r>
      <w:r w:rsidR="00BE54B2">
        <w:rPr>
          <w:rFonts w:eastAsia="宋体" w:hAnsi="Calibri" w:cs="Times New Roman" w:hint="eastAsia"/>
          <w:b/>
          <w:sz w:val="22"/>
        </w:rPr>
        <w:t>in</w:t>
      </w:r>
      <w:r w:rsidR="00AD3FA1" w:rsidRPr="00403FFA">
        <w:rPr>
          <w:rFonts w:eastAsia="宋体" w:hAnsi="Calibri" w:cs="Times New Roman" w:hint="eastAsia"/>
          <w:b/>
          <w:sz w:val="22"/>
        </w:rPr>
        <w:t xml:space="preserve"> </w:t>
      </w:r>
      <w:r w:rsidR="00D46F3D" w:rsidRPr="00403FFA">
        <w:rPr>
          <w:rFonts w:eastAsia="宋体" w:hAnsi="Calibri" w:cs="Times New Roman" w:hint="eastAsia"/>
          <w:b/>
          <w:sz w:val="22"/>
        </w:rPr>
        <w:t xml:space="preserve">Western China </w:t>
      </w:r>
      <w:r w:rsidR="00D46F3D" w:rsidRPr="00403FFA">
        <w:rPr>
          <w:rFonts w:eastAsia="宋体" w:hAnsi="Calibri" w:cs="Times New Roman"/>
          <w:b/>
          <w:sz w:val="22"/>
        </w:rPr>
        <w:t>under</w:t>
      </w:r>
      <w:r w:rsidR="00D46F3D" w:rsidRPr="00403FFA">
        <w:rPr>
          <w:rFonts w:eastAsia="宋体" w:hAnsi="Calibri" w:cs="Times New Roman" w:hint="eastAsia"/>
          <w:b/>
          <w:sz w:val="22"/>
        </w:rPr>
        <w:t xml:space="preserve"> </w:t>
      </w:r>
      <w:r w:rsidR="00D46F3D" w:rsidRPr="00403FFA">
        <w:rPr>
          <w:rFonts w:eastAsia="宋体" w:hAnsi="Calibri" w:cs="Times New Roman"/>
          <w:b/>
          <w:sz w:val="22"/>
        </w:rPr>
        <w:t>“</w:t>
      </w:r>
      <w:r w:rsidR="00D46F3D" w:rsidRPr="00403FFA">
        <w:rPr>
          <w:rFonts w:eastAsia="宋体" w:hAnsi="Calibri" w:cs="Times New Roman" w:hint="eastAsia"/>
          <w:b/>
          <w:sz w:val="22"/>
        </w:rPr>
        <w:t>One Belt a</w:t>
      </w:r>
      <w:r w:rsidR="00013E71" w:rsidRPr="00403FFA">
        <w:rPr>
          <w:rFonts w:eastAsia="宋体" w:hAnsi="Calibri" w:cs="Times New Roman" w:hint="eastAsia"/>
          <w:b/>
          <w:sz w:val="22"/>
        </w:rPr>
        <w:t>nd One Road</w:t>
      </w:r>
      <w:r w:rsidR="00D46F3D" w:rsidRPr="00403FFA">
        <w:rPr>
          <w:rFonts w:eastAsia="宋体" w:hAnsi="Calibri" w:cs="Times New Roman"/>
          <w:b/>
          <w:sz w:val="22"/>
        </w:rPr>
        <w:t>”</w:t>
      </w:r>
      <w:r w:rsidR="00AD3FA1" w:rsidRPr="00403FFA">
        <w:rPr>
          <w:rFonts w:eastAsia="宋体" w:hAnsi="Calibri" w:cs="Times New Roman" w:hint="eastAsia"/>
          <w:b/>
          <w:sz w:val="22"/>
        </w:rPr>
        <w:t xml:space="preserve"> Background </w:t>
      </w:r>
    </w:p>
    <w:p w:rsidR="00D1200A" w:rsidRPr="00D1200A" w:rsidRDefault="00D1200A" w:rsidP="002833FE">
      <w:pPr>
        <w:spacing w:line="360" w:lineRule="auto"/>
        <w:jc w:val="center"/>
        <w:rPr>
          <w:rFonts w:eastAsia="宋体" w:hAnsi="Calibri" w:cs="Times New Roman"/>
          <w:b/>
          <w:i/>
          <w:sz w:val="22"/>
        </w:rPr>
      </w:pPr>
      <w:r w:rsidRPr="00D1200A">
        <w:rPr>
          <w:rFonts w:eastAsia="宋体" w:hAnsi="Calibri" w:cs="Times New Roman" w:hint="eastAsia"/>
          <w:b/>
          <w:i/>
          <w:sz w:val="22"/>
        </w:rPr>
        <w:t>Ba Duoxun,Wen Qian</w:t>
      </w:r>
    </w:p>
    <w:p w:rsidR="00111E0C" w:rsidRPr="007E0054" w:rsidRDefault="004735FE" w:rsidP="001A2E8D">
      <w:pPr>
        <w:wordWrap w:val="0"/>
        <w:spacing w:line="360" w:lineRule="auto"/>
        <w:jc w:val="left"/>
        <w:rPr>
          <w:rFonts w:ascii="Times New Roman" w:hAnsi="Times New Roman" w:cs="Times New Roman"/>
          <w:color w:val="2B2B2B"/>
          <w:szCs w:val="21"/>
          <w:shd w:val="clear" w:color="auto" w:fill="F8F8F8"/>
        </w:rPr>
      </w:pPr>
      <w:r w:rsidRPr="007E0054">
        <w:rPr>
          <w:rFonts w:ascii="Times New Roman" w:hAnsi="Times New Roman" w:cs="Times New Roman"/>
          <w:b/>
          <w:color w:val="000000"/>
          <w:szCs w:val="18"/>
          <w:shd w:val="clear" w:color="auto" w:fill="F8F8F8"/>
        </w:rPr>
        <w:t>Abstract</w:t>
      </w:r>
      <w:r w:rsidRPr="007E0054">
        <w:rPr>
          <w:rFonts w:ascii="Times New Roman" w:hAnsi="Times New Roman" w:cs="Times New Roman"/>
          <w:color w:val="2B2B2B"/>
          <w:sz w:val="24"/>
          <w:szCs w:val="21"/>
          <w:shd w:val="clear" w:color="auto" w:fill="F8F8F8"/>
        </w:rPr>
        <w:t xml:space="preserve"> </w:t>
      </w:r>
      <w:r w:rsidR="0044624C" w:rsidRPr="007E0054">
        <w:rPr>
          <w:rFonts w:ascii="Times New Roman" w:hAnsi="Times New Roman" w:cs="Times New Roman"/>
          <w:color w:val="2B2B2B"/>
          <w:szCs w:val="21"/>
          <w:shd w:val="clear" w:color="auto" w:fill="F8F8F8"/>
        </w:rPr>
        <w:t xml:space="preserve">The institutional arrangements of </w:t>
      </w:r>
      <w:r w:rsidR="005831DD" w:rsidRPr="007E0054">
        <w:rPr>
          <w:rFonts w:ascii="Times New Roman" w:hAnsi="Times New Roman" w:cs="Times New Roman"/>
          <w:color w:val="2B2B2B"/>
          <w:szCs w:val="21"/>
          <w:shd w:val="clear" w:color="auto" w:fill="F8F8F8"/>
        </w:rPr>
        <w:t>“One Belt and One Road” initiative</w:t>
      </w:r>
      <w:r w:rsidR="00D9046E" w:rsidRPr="007E0054">
        <w:rPr>
          <w:rFonts w:ascii="Times New Roman" w:hAnsi="Times New Roman" w:cs="Times New Roman"/>
          <w:color w:val="2B2B2B"/>
          <w:szCs w:val="21"/>
          <w:shd w:val="clear" w:color="auto" w:fill="F8F8F8"/>
        </w:rPr>
        <w:t xml:space="preserve"> </w:t>
      </w:r>
      <w:r w:rsidR="00394A09" w:rsidRPr="007E0054">
        <w:rPr>
          <w:rFonts w:ascii="Times New Roman" w:hAnsi="Times New Roman" w:cs="Times New Roman"/>
          <w:color w:val="2B2B2B"/>
          <w:szCs w:val="21"/>
          <w:shd w:val="clear" w:color="auto" w:fill="F8F8F8"/>
        </w:rPr>
        <w:t>has</w:t>
      </w:r>
      <w:r w:rsidR="00D9046E" w:rsidRPr="007E0054">
        <w:rPr>
          <w:rFonts w:ascii="Times New Roman" w:hAnsi="Times New Roman" w:cs="Times New Roman"/>
          <w:color w:val="2B2B2B"/>
          <w:szCs w:val="21"/>
          <w:shd w:val="clear" w:color="auto" w:fill="F8F8F8"/>
        </w:rPr>
        <w:t xml:space="preserve"> a gre</w:t>
      </w:r>
      <w:r w:rsidR="007E0054">
        <w:rPr>
          <w:rFonts w:ascii="Times New Roman" w:hAnsi="Times New Roman" w:cs="Times New Roman" w:hint="eastAsia"/>
          <w:color w:val="2B2B2B"/>
          <w:szCs w:val="21"/>
          <w:shd w:val="clear" w:color="auto" w:fill="F8F8F8"/>
        </w:rPr>
        <w:t>-</w:t>
      </w:r>
      <w:r w:rsidR="00D9046E" w:rsidRPr="007E0054">
        <w:rPr>
          <w:rFonts w:ascii="Times New Roman" w:hAnsi="Times New Roman" w:cs="Times New Roman"/>
          <w:color w:val="2B2B2B"/>
          <w:szCs w:val="21"/>
          <w:shd w:val="clear" w:color="auto" w:fill="F8F8F8"/>
        </w:rPr>
        <w:t xml:space="preserve">at of strategic effects </w:t>
      </w:r>
      <w:r w:rsidR="00AE2901" w:rsidRPr="007E0054">
        <w:rPr>
          <w:rFonts w:ascii="Times New Roman" w:hAnsi="Times New Roman" w:cs="Times New Roman"/>
          <w:color w:val="2B2B2B"/>
          <w:szCs w:val="21"/>
          <w:shd w:val="clear" w:color="auto" w:fill="F8F8F8"/>
        </w:rPr>
        <w:t xml:space="preserve">to </w:t>
      </w:r>
      <w:r w:rsidR="001B0C0C" w:rsidRPr="007E0054">
        <w:rPr>
          <w:rFonts w:ascii="Times New Roman" w:hAnsi="Times New Roman" w:cs="Times New Roman"/>
          <w:color w:val="2B2B2B"/>
          <w:szCs w:val="21"/>
          <w:shd w:val="clear" w:color="auto" w:fill="F8F8F8"/>
        </w:rPr>
        <w:t>China inbound tourism,especially</w:t>
      </w:r>
      <w:r w:rsidR="00D03461" w:rsidRPr="007E0054">
        <w:rPr>
          <w:rFonts w:ascii="Times New Roman" w:hAnsi="Times New Roman" w:cs="Times New Roman"/>
          <w:color w:val="2B2B2B"/>
          <w:szCs w:val="21"/>
          <w:shd w:val="clear" w:color="auto" w:fill="F8F8F8"/>
        </w:rPr>
        <w:t xml:space="preserve"> to the inbound tourism along th</w:t>
      </w:r>
      <w:r w:rsidR="00CB748F">
        <w:rPr>
          <w:rFonts w:ascii="Times New Roman" w:hAnsi="Times New Roman" w:cs="Times New Roman" w:hint="eastAsia"/>
          <w:color w:val="2B2B2B"/>
          <w:szCs w:val="21"/>
          <w:shd w:val="clear" w:color="auto" w:fill="F8F8F8"/>
        </w:rPr>
        <w:t>-</w:t>
      </w:r>
      <w:r w:rsidR="00D03461" w:rsidRPr="007E0054">
        <w:rPr>
          <w:rFonts w:ascii="Times New Roman" w:hAnsi="Times New Roman" w:cs="Times New Roman"/>
          <w:color w:val="2B2B2B"/>
          <w:szCs w:val="21"/>
          <w:shd w:val="clear" w:color="auto" w:fill="F8F8F8"/>
        </w:rPr>
        <w:t>e silk road area</w:t>
      </w:r>
      <w:r w:rsidR="008E1706" w:rsidRPr="007E0054">
        <w:rPr>
          <w:rFonts w:ascii="Times New Roman" w:hAnsi="Times New Roman" w:cs="Times New Roman"/>
          <w:color w:val="2B2B2B"/>
          <w:szCs w:val="21"/>
          <w:shd w:val="clear" w:color="auto" w:fill="F8F8F8"/>
        </w:rPr>
        <w:t xml:space="preserve">,which caused the rapid development </w:t>
      </w:r>
      <w:r w:rsidR="00B533BC" w:rsidRPr="007E0054">
        <w:rPr>
          <w:rFonts w:ascii="Times New Roman" w:hAnsi="Times New Roman" w:cs="Times New Roman"/>
          <w:color w:val="2B2B2B"/>
          <w:szCs w:val="21"/>
          <w:shd w:val="clear" w:color="auto" w:fill="F8F8F8"/>
        </w:rPr>
        <w:t>of inbound tourism in this area in r</w:t>
      </w:r>
      <w:r w:rsidR="00CB748F">
        <w:rPr>
          <w:rFonts w:ascii="Times New Roman" w:hAnsi="Times New Roman" w:cs="Times New Roman" w:hint="eastAsia"/>
          <w:color w:val="2B2B2B"/>
          <w:szCs w:val="21"/>
          <w:shd w:val="clear" w:color="auto" w:fill="F8F8F8"/>
        </w:rPr>
        <w:t>-</w:t>
      </w:r>
      <w:r w:rsidR="00B533BC" w:rsidRPr="007E0054">
        <w:rPr>
          <w:rFonts w:ascii="Times New Roman" w:hAnsi="Times New Roman" w:cs="Times New Roman"/>
          <w:color w:val="2B2B2B"/>
          <w:szCs w:val="21"/>
          <w:shd w:val="clear" w:color="auto" w:fill="F8F8F8"/>
        </w:rPr>
        <w:t>ecent years.</w:t>
      </w:r>
      <w:r w:rsidR="00BD15B8" w:rsidRPr="007E0054">
        <w:rPr>
          <w:rFonts w:ascii="Times New Roman" w:hAnsi="Times New Roman" w:cs="Times New Roman"/>
          <w:color w:val="2B2B2B"/>
          <w:szCs w:val="21"/>
          <w:shd w:val="clear" w:color="auto" w:fill="F8F8F8"/>
        </w:rPr>
        <w:t>Therefore,</w:t>
      </w:r>
      <w:r w:rsidR="00F4039E" w:rsidRPr="007E0054">
        <w:rPr>
          <w:rFonts w:ascii="Times New Roman" w:hAnsi="Times New Roman" w:cs="Times New Roman"/>
          <w:color w:val="2B2B2B"/>
          <w:szCs w:val="21"/>
          <w:shd w:val="clear" w:color="auto" w:fill="F8F8F8"/>
        </w:rPr>
        <w:t xml:space="preserve">it makes </w:t>
      </w:r>
      <w:r w:rsidR="00CB748F" w:rsidRPr="007E0054">
        <w:rPr>
          <w:rFonts w:ascii="Times New Roman" w:hAnsi="Times New Roman" w:cs="Times New Roman"/>
          <w:color w:val="2B2B2B"/>
          <w:szCs w:val="21"/>
          <w:shd w:val="clear" w:color="auto" w:fill="F8F8F8"/>
        </w:rPr>
        <w:t>m</w:t>
      </w:r>
      <w:r w:rsidR="00461DB2" w:rsidRPr="007E0054">
        <w:rPr>
          <w:rFonts w:ascii="Times New Roman" w:hAnsi="Times New Roman" w:cs="Times New Roman"/>
          <w:color w:val="2B2B2B"/>
          <w:szCs w:val="21"/>
          <w:shd w:val="clear" w:color="auto" w:fill="F8F8F8"/>
        </w:rPr>
        <w:t xml:space="preserve">odern tourism </w:t>
      </w:r>
      <w:r w:rsidR="005D7A85" w:rsidRPr="007E0054">
        <w:rPr>
          <w:rFonts w:ascii="Times New Roman" w:hAnsi="Times New Roman" w:cs="Times New Roman"/>
          <w:color w:val="2B2B2B"/>
          <w:szCs w:val="21"/>
          <w:shd w:val="clear" w:color="auto" w:fill="F8F8F8"/>
        </w:rPr>
        <w:t xml:space="preserve">industry </w:t>
      </w:r>
      <w:r w:rsidR="001356C1" w:rsidRPr="007E0054">
        <w:rPr>
          <w:rFonts w:ascii="Times New Roman" w:hAnsi="Times New Roman" w:cs="Times New Roman"/>
          <w:color w:val="2B2B2B"/>
          <w:szCs w:val="21"/>
          <w:shd w:val="clear" w:color="auto" w:fill="F8F8F8"/>
        </w:rPr>
        <w:t>has become</w:t>
      </w:r>
      <w:r w:rsidR="00CB748F">
        <w:rPr>
          <w:rFonts w:ascii="Times New Roman" w:hAnsi="Times New Roman" w:cs="Times New Roman" w:hint="eastAsia"/>
          <w:color w:val="2B2B2B"/>
          <w:szCs w:val="21"/>
          <w:shd w:val="clear" w:color="auto" w:fill="F8F8F8"/>
        </w:rPr>
        <w:t xml:space="preserve"> </w:t>
      </w:r>
      <w:r w:rsidR="001A2E8D" w:rsidRPr="007E0054">
        <w:rPr>
          <w:rFonts w:ascii="Times New Roman" w:hAnsi="Times New Roman" w:cs="Times New Roman"/>
          <w:color w:val="2B2B2B"/>
          <w:szCs w:val="21"/>
          <w:shd w:val="clear" w:color="auto" w:fill="F8F8F8"/>
        </w:rPr>
        <w:t>the</w:t>
      </w:r>
      <w:r w:rsidR="0057757C" w:rsidRPr="007E0054">
        <w:rPr>
          <w:rFonts w:ascii="Times New Roman" w:hAnsi="Times New Roman" w:cs="Times New Roman"/>
          <w:color w:val="2B2B2B"/>
          <w:szCs w:val="21"/>
          <w:shd w:val="clear" w:color="auto" w:fill="F8F8F8"/>
        </w:rPr>
        <w:t xml:space="preserve"> </w:t>
      </w:r>
      <w:r w:rsidR="001356C1" w:rsidRPr="007E0054">
        <w:rPr>
          <w:rFonts w:ascii="Times New Roman" w:hAnsi="Times New Roman" w:cs="Times New Roman"/>
          <w:color w:val="2B2B2B"/>
          <w:szCs w:val="21"/>
          <w:shd w:val="clear" w:color="auto" w:fill="F8F8F8"/>
        </w:rPr>
        <w:t>d</w:t>
      </w:r>
      <w:r w:rsidR="00461DB2" w:rsidRPr="007E0054">
        <w:rPr>
          <w:rFonts w:ascii="Times New Roman" w:hAnsi="Times New Roman" w:cs="Times New Roman"/>
          <w:color w:val="2B2B2B"/>
          <w:szCs w:val="21"/>
          <w:shd w:val="clear" w:color="auto" w:fill="F8F8F8"/>
        </w:rPr>
        <w:t xml:space="preserve">ominant </w:t>
      </w:r>
      <w:r w:rsidR="001356C1" w:rsidRPr="007E0054">
        <w:rPr>
          <w:rFonts w:ascii="Times New Roman" w:hAnsi="Times New Roman" w:cs="Times New Roman"/>
          <w:color w:val="2B2B2B"/>
          <w:szCs w:val="21"/>
          <w:shd w:val="clear" w:color="auto" w:fill="F8F8F8"/>
        </w:rPr>
        <w:t xml:space="preserve">industry </w:t>
      </w:r>
      <w:r w:rsidR="00461DB2" w:rsidRPr="007E0054">
        <w:rPr>
          <w:rFonts w:ascii="Times New Roman" w:hAnsi="Times New Roman" w:cs="Times New Roman"/>
          <w:color w:val="2B2B2B"/>
          <w:szCs w:val="21"/>
          <w:shd w:val="clear" w:color="auto" w:fill="F8F8F8"/>
        </w:rPr>
        <w:t xml:space="preserve">or leading </w:t>
      </w:r>
      <w:r w:rsidR="001356C1" w:rsidRPr="007E0054">
        <w:rPr>
          <w:rFonts w:ascii="Times New Roman" w:hAnsi="Times New Roman" w:cs="Times New Roman"/>
          <w:color w:val="2B2B2B"/>
          <w:szCs w:val="21"/>
          <w:shd w:val="clear" w:color="auto" w:fill="F8F8F8"/>
        </w:rPr>
        <w:t>industry</w:t>
      </w:r>
      <w:r w:rsidR="004E1975" w:rsidRPr="007E0054">
        <w:rPr>
          <w:rFonts w:ascii="Times New Roman" w:hAnsi="Times New Roman" w:cs="Times New Roman"/>
          <w:color w:val="2B2B2B"/>
          <w:szCs w:val="21"/>
          <w:shd w:val="clear" w:color="auto" w:fill="F8F8F8"/>
        </w:rPr>
        <w:t xml:space="preserve"> by the</w:t>
      </w:r>
      <w:r w:rsidR="00F6012A" w:rsidRPr="007E0054">
        <w:rPr>
          <w:rFonts w:ascii="Times New Roman" w:hAnsi="Times New Roman" w:cs="Times New Roman"/>
          <w:color w:val="2B2B2B"/>
          <w:szCs w:val="21"/>
          <w:shd w:val="clear" w:color="auto" w:fill="F8F8F8"/>
        </w:rPr>
        <w:t xml:space="preserve"> rapid growth at the industrial structure level</w:t>
      </w:r>
      <w:r w:rsidR="00CB748F">
        <w:rPr>
          <w:rFonts w:ascii="Times New Roman" w:hAnsi="Arial" w:cs="Times New Roman" w:hint="eastAsia"/>
          <w:color w:val="2B2B2B"/>
          <w:szCs w:val="21"/>
          <w:shd w:val="clear" w:color="auto" w:fill="F8F8F8"/>
        </w:rPr>
        <w:t>,a</w:t>
      </w:r>
      <w:r w:rsidR="00286B1D" w:rsidRPr="007E0054">
        <w:rPr>
          <w:rFonts w:ascii="Times New Roman" w:hAnsi="Times New Roman" w:cs="Times New Roman"/>
          <w:color w:val="2B2B2B"/>
          <w:szCs w:val="21"/>
          <w:shd w:val="clear" w:color="auto" w:fill="F8F8F8"/>
        </w:rPr>
        <w:t xml:space="preserve">nd enlightens </w:t>
      </w:r>
      <w:r w:rsidR="003A2531" w:rsidRPr="007E0054">
        <w:rPr>
          <w:rFonts w:ascii="Times New Roman" w:hAnsi="Times New Roman" w:cs="Times New Roman"/>
          <w:color w:val="2B2B2B"/>
          <w:szCs w:val="21"/>
          <w:shd w:val="clear" w:color="auto" w:fill="F8F8F8"/>
        </w:rPr>
        <w:t>a n</w:t>
      </w:r>
      <w:r w:rsidR="00CB748F">
        <w:rPr>
          <w:rFonts w:ascii="Times New Roman" w:hAnsi="Times New Roman" w:cs="Times New Roman" w:hint="eastAsia"/>
          <w:color w:val="2B2B2B"/>
          <w:szCs w:val="21"/>
          <w:shd w:val="clear" w:color="auto" w:fill="F8F8F8"/>
        </w:rPr>
        <w:t>-</w:t>
      </w:r>
      <w:r w:rsidR="003A2531" w:rsidRPr="007E0054">
        <w:rPr>
          <w:rFonts w:ascii="Times New Roman" w:hAnsi="Times New Roman" w:cs="Times New Roman"/>
          <w:color w:val="2B2B2B"/>
          <w:szCs w:val="21"/>
          <w:shd w:val="clear" w:color="auto" w:fill="F8F8F8"/>
        </w:rPr>
        <w:t>ew breakthrough</w:t>
      </w:r>
      <w:r w:rsidR="0025187A" w:rsidRPr="007E0054">
        <w:rPr>
          <w:rFonts w:ascii="Times New Roman" w:hAnsi="Times New Roman" w:cs="Times New Roman"/>
          <w:color w:val="2B2B2B"/>
          <w:szCs w:val="21"/>
          <w:shd w:val="clear" w:color="auto" w:fill="F8F8F8"/>
        </w:rPr>
        <w:t xml:space="preserve"> of economic structure in western area.</w:t>
      </w:r>
      <w:r w:rsidR="00D5738B" w:rsidRPr="007E0054">
        <w:rPr>
          <w:rFonts w:ascii="Times New Roman" w:hAnsi="Times New Roman" w:cs="Times New Roman"/>
          <w:color w:val="2B2B2B"/>
          <w:szCs w:val="21"/>
          <w:shd w:val="clear" w:color="auto" w:fill="F8F8F8"/>
        </w:rPr>
        <w:t>The purpose of this paper is to</w:t>
      </w:r>
      <w:r w:rsidR="00DF15C1" w:rsidRPr="007E0054">
        <w:rPr>
          <w:rFonts w:ascii="Times New Roman" w:hAnsi="Times New Roman" w:cs="Times New Roman"/>
          <w:color w:val="2B2B2B"/>
          <w:szCs w:val="21"/>
          <w:shd w:val="clear" w:color="auto" w:fill="F8F8F8"/>
        </w:rPr>
        <w:t xml:space="preserve"> </w:t>
      </w:r>
      <w:r w:rsidR="00D5738B" w:rsidRPr="007E0054">
        <w:rPr>
          <w:rFonts w:ascii="Times New Roman" w:hAnsi="Times New Roman" w:cs="Times New Roman"/>
          <w:color w:val="2B2B2B"/>
          <w:szCs w:val="21"/>
          <w:shd w:val="clear" w:color="auto" w:fill="F8F8F8"/>
        </w:rPr>
        <w:t>an</w:t>
      </w:r>
      <w:r w:rsidR="00EB6F5B">
        <w:rPr>
          <w:rFonts w:ascii="Times New Roman" w:hAnsi="Times New Roman" w:cs="Times New Roman" w:hint="eastAsia"/>
          <w:color w:val="2B2B2B"/>
          <w:szCs w:val="21"/>
          <w:shd w:val="clear" w:color="auto" w:fill="F8F8F8"/>
        </w:rPr>
        <w:t>-</w:t>
      </w:r>
      <w:r w:rsidR="00D5738B" w:rsidRPr="007E0054">
        <w:rPr>
          <w:rFonts w:ascii="Times New Roman" w:hAnsi="Times New Roman" w:cs="Times New Roman"/>
          <w:color w:val="2B2B2B"/>
          <w:szCs w:val="21"/>
          <w:shd w:val="clear" w:color="auto" w:fill="F8F8F8"/>
        </w:rPr>
        <w:t>alyse</w:t>
      </w:r>
      <w:r w:rsidR="00DF15C1" w:rsidRPr="007E0054">
        <w:rPr>
          <w:rFonts w:ascii="Times New Roman" w:hAnsi="Times New Roman" w:cs="Times New Roman"/>
          <w:color w:val="2B2B2B"/>
          <w:szCs w:val="21"/>
          <w:shd w:val="clear" w:color="auto" w:fill="F8F8F8"/>
        </w:rPr>
        <w:t xml:space="preserve"> systematicly</w:t>
      </w:r>
      <w:r w:rsidR="00D5738B" w:rsidRPr="007E0054">
        <w:rPr>
          <w:rFonts w:ascii="Times New Roman" w:hAnsi="Times New Roman" w:cs="Times New Roman"/>
          <w:color w:val="2B2B2B"/>
          <w:szCs w:val="21"/>
          <w:shd w:val="clear" w:color="auto" w:fill="F8F8F8"/>
        </w:rPr>
        <w:t xml:space="preserve"> </w:t>
      </w:r>
      <w:r w:rsidR="001C5DC1" w:rsidRPr="007E0054">
        <w:rPr>
          <w:rFonts w:ascii="Times New Roman" w:hAnsi="Times New Roman" w:cs="Times New Roman"/>
          <w:color w:val="2B2B2B"/>
          <w:szCs w:val="21"/>
          <w:shd w:val="clear" w:color="auto" w:fill="F8F8F8"/>
        </w:rPr>
        <w:t xml:space="preserve">the inboud tourism </w:t>
      </w:r>
      <w:r w:rsidR="003A5EFA" w:rsidRPr="007E0054">
        <w:rPr>
          <w:rFonts w:ascii="Times New Roman" w:hAnsi="Times New Roman" w:cs="Times New Roman"/>
          <w:color w:val="2B2B2B"/>
          <w:szCs w:val="21"/>
          <w:shd w:val="clear" w:color="auto" w:fill="F8F8F8"/>
        </w:rPr>
        <w:t>trend</w:t>
      </w:r>
      <w:r w:rsidR="00EB6F5B">
        <w:rPr>
          <w:rFonts w:ascii="Times New Roman" w:hAnsi="Times New Roman" w:cs="Times New Roman" w:hint="eastAsia"/>
          <w:color w:val="2B2B2B"/>
          <w:szCs w:val="21"/>
          <w:shd w:val="clear" w:color="auto" w:fill="F8F8F8"/>
        </w:rPr>
        <w:t xml:space="preserve"> </w:t>
      </w:r>
      <w:r w:rsidR="003A5EFA" w:rsidRPr="007E0054">
        <w:rPr>
          <w:rFonts w:ascii="Times New Roman" w:hAnsi="Times New Roman" w:cs="Times New Roman"/>
          <w:color w:val="2B2B2B"/>
          <w:szCs w:val="21"/>
          <w:shd w:val="clear" w:color="auto" w:fill="F8F8F8"/>
        </w:rPr>
        <w:t xml:space="preserve">and </w:t>
      </w:r>
      <w:r w:rsidR="001C5DC1" w:rsidRPr="007E0054">
        <w:rPr>
          <w:rFonts w:ascii="Times New Roman" w:hAnsi="Times New Roman" w:cs="Times New Roman"/>
          <w:color w:val="2B2B2B"/>
          <w:szCs w:val="21"/>
          <w:shd w:val="clear" w:color="auto" w:fill="F8F8F8"/>
        </w:rPr>
        <w:t xml:space="preserve">development of </w:t>
      </w:r>
      <w:r w:rsidR="00EB6F5B">
        <w:rPr>
          <w:rFonts w:ascii="Times New Roman" w:hAnsi="Times New Roman" w:cs="Times New Roman"/>
          <w:color w:val="2B2B2B"/>
          <w:szCs w:val="21"/>
          <w:shd w:val="clear" w:color="auto" w:fill="F8F8F8"/>
        </w:rPr>
        <w:t>western China along the</w:t>
      </w:r>
      <w:r w:rsidR="00EB6F5B">
        <w:rPr>
          <w:rFonts w:ascii="Times New Roman" w:hAnsi="Times New Roman" w:cs="Times New Roman" w:hint="eastAsia"/>
          <w:color w:val="2B2B2B"/>
          <w:szCs w:val="21"/>
          <w:shd w:val="clear" w:color="auto" w:fill="F8F8F8"/>
        </w:rPr>
        <w:t xml:space="preserve">  </w:t>
      </w:r>
      <w:r w:rsidR="005A0D0E" w:rsidRPr="007E0054">
        <w:rPr>
          <w:rFonts w:ascii="Times New Roman" w:hAnsi="Times New Roman" w:cs="Times New Roman"/>
          <w:color w:val="2B2B2B"/>
          <w:szCs w:val="21"/>
          <w:shd w:val="clear" w:color="auto" w:fill="F8F8F8"/>
        </w:rPr>
        <w:t>silk road</w:t>
      </w:r>
      <w:r w:rsidR="009A74B5" w:rsidRPr="007E0054">
        <w:rPr>
          <w:rFonts w:ascii="Times New Roman" w:hAnsi="Times New Roman" w:cs="Times New Roman"/>
          <w:color w:val="2B2B2B"/>
          <w:szCs w:val="21"/>
          <w:shd w:val="clear" w:color="auto" w:fill="F8F8F8"/>
        </w:rPr>
        <w:t xml:space="preserve"> by comparing with other district</w:t>
      </w:r>
      <w:r w:rsidR="007D7F53" w:rsidRPr="007E0054">
        <w:rPr>
          <w:rFonts w:ascii="Times New Roman" w:hAnsi="Times New Roman" w:cs="Times New Roman"/>
          <w:color w:val="2B2B2B"/>
          <w:szCs w:val="21"/>
          <w:shd w:val="clear" w:color="auto" w:fill="F8F8F8"/>
        </w:rPr>
        <w:t>s</w:t>
      </w:r>
      <w:r w:rsidR="006F6D59" w:rsidRPr="007E0054">
        <w:rPr>
          <w:rFonts w:ascii="Times New Roman" w:hAnsi="Times New Roman" w:cs="Times New Roman"/>
          <w:color w:val="2B2B2B"/>
          <w:szCs w:val="21"/>
          <w:shd w:val="clear" w:color="auto" w:fill="F8F8F8"/>
        </w:rPr>
        <w:t xml:space="preserve"> </w:t>
      </w:r>
      <w:r w:rsidR="009A74B5" w:rsidRPr="007E0054">
        <w:rPr>
          <w:rFonts w:ascii="Times New Roman" w:hAnsi="Times New Roman" w:cs="Times New Roman"/>
          <w:color w:val="2B2B2B"/>
          <w:szCs w:val="21"/>
          <w:shd w:val="clear" w:color="auto" w:fill="F8F8F8"/>
        </w:rPr>
        <w:t xml:space="preserve">with Time </w:t>
      </w:r>
      <w:r w:rsidR="003A5EFA" w:rsidRPr="007E0054">
        <w:rPr>
          <w:rFonts w:ascii="Times New Roman" w:hAnsi="Times New Roman" w:cs="Times New Roman"/>
          <w:color w:val="2B2B2B"/>
          <w:szCs w:val="21"/>
          <w:shd w:val="clear" w:color="auto" w:fill="F8F8F8"/>
        </w:rPr>
        <w:t>S</w:t>
      </w:r>
      <w:r w:rsidR="009A74B5" w:rsidRPr="007E0054">
        <w:rPr>
          <w:rFonts w:ascii="Times New Roman" w:hAnsi="Times New Roman" w:cs="Times New Roman"/>
          <w:color w:val="2B2B2B"/>
          <w:szCs w:val="21"/>
          <w:shd w:val="clear" w:color="auto" w:fill="F8F8F8"/>
        </w:rPr>
        <w:t xml:space="preserve">eries </w:t>
      </w:r>
      <w:r w:rsidR="003A5EFA" w:rsidRPr="007E0054">
        <w:rPr>
          <w:rFonts w:ascii="Times New Roman" w:hAnsi="Times New Roman" w:cs="Times New Roman"/>
          <w:color w:val="2B2B2B"/>
          <w:szCs w:val="21"/>
          <w:shd w:val="clear" w:color="auto" w:fill="F8F8F8"/>
        </w:rPr>
        <w:t>A</w:t>
      </w:r>
      <w:r w:rsidR="009A74B5" w:rsidRPr="007E0054">
        <w:rPr>
          <w:rFonts w:ascii="Times New Roman" w:hAnsi="Times New Roman" w:cs="Times New Roman"/>
          <w:color w:val="2B2B2B"/>
          <w:szCs w:val="21"/>
          <w:shd w:val="clear" w:color="auto" w:fill="F8F8F8"/>
        </w:rPr>
        <w:t>nalysis</w:t>
      </w:r>
      <w:r w:rsidR="006F6D59" w:rsidRPr="007E0054">
        <w:rPr>
          <w:rFonts w:ascii="Times New Roman" w:hAnsi="Times New Roman" w:cs="Times New Roman"/>
          <w:color w:val="2B2B2B"/>
          <w:szCs w:val="21"/>
          <w:shd w:val="clear" w:color="auto" w:fill="F8F8F8"/>
        </w:rPr>
        <w:t xml:space="preserve"> </w:t>
      </w:r>
      <w:r w:rsidR="007D7F53" w:rsidRPr="007E0054">
        <w:rPr>
          <w:rFonts w:ascii="Times New Roman" w:hAnsi="Times New Roman" w:cs="Times New Roman"/>
          <w:color w:val="2B2B2B"/>
          <w:szCs w:val="21"/>
          <w:shd w:val="clear" w:color="auto" w:fill="F8F8F8"/>
        </w:rPr>
        <w:t>method</w:t>
      </w:r>
      <w:r w:rsidR="003A5EFA" w:rsidRPr="007E0054">
        <w:rPr>
          <w:rFonts w:ascii="Times New Roman" w:hAnsi="Times New Roman" w:cs="Times New Roman"/>
          <w:color w:val="2B2B2B"/>
          <w:szCs w:val="21"/>
          <w:shd w:val="clear" w:color="auto" w:fill="F8F8F8"/>
        </w:rPr>
        <w:t>,</w:t>
      </w:r>
      <w:r w:rsidR="00290EA1" w:rsidRPr="007E0054">
        <w:rPr>
          <w:rFonts w:ascii="Times New Roman" w:hAnsi="Times New Roman" w:cs="Times New Roman"/>
          <w:color w:val="2B2B2B"/>
          <w:szCs w:val="21"/>
          <w:shd w:val="clear" w:color="auto" w:fill="F8F8F8"/>
        </w:rPr>
        <w:t>and illustrate</w:t>
      </w:r>
      <w:r w:rsidR="006F6D59" w:rsidRPr="007E0054">
        <w:rPr>
          <w:rFonts w:ascii="Times New Roman" w:hAnsi="Times New Roman" w:cs="Times New Roman"/>
          <w:color w:val="2B2B2B"/>
          <w:szCs w:val="21"/>
          <w:shd w:val="clear" w:color="auto" w:fill="F8F8F8"/>
        </w:rPr>
        <w:t xml:space="preserve"> systematicly</w:t>
      </w:r>
      <w:r w:rsidR="00290EA1" w:rsidRPr="007E0054">
        <w:rPr>
          <w:rFonts w:ascii="Times New Roman" w:hAnsi="Times New Roman" w:cs="Times New Roman"/>
          <w:color w:val="2B2B2B"/>
          <w:szCs w:val="21"/>
          <w:shd w:val="clear" w:color="auto" w:fill="F8F8F8"/>
        </w:rPr>
        <w:t xml:space="preserve"> the</w:t>
      </w:r>
      <w:r w:rsidR="007E0054" w:rsidRPr="007E0054">
        <w:rPr>
          <w:rFonts w:ascii="Times New Roman" w:hAnsi="Times New Roman" w:cs="Times New Roman"/>
          <w:color w:val="2B2B2B"/>
          <w:szCs w:val="21"/>
          <w:shd w:val="clear" w:color="auto" w:fill="F8F8F8"/>
        </w:rPr>
        <w:t xml:space="preserve"> interactive</w:t>
      </w:r>
      <w:r w:rsidR="00EB6F5B">
        <w:rPr>
          <w:rFonts w:ascii="Times New Roman" w:hAnsi="Times New Roman" w:cs="Times New Roman"/>
          <w:color w:val="2B2B2B"/>
          <w:szCs w:val="21"/>
          <w:shd w:val="clear" w:color="auto" w:fill="F8F8F8"/>
        </w:rPr>
        <w:t xml:space="preserve"> </w:t>
      </w:r>
      <w:r w:rsidR="00290EA1" w:rsidRPr="007E0054">
        <w:rPr>
          <w:rFonts w:ascii="Times New Roman" w:hAnsi="Times New Roman" w:cs="Times New Roman"/>
          <w:color w:val="2B2B2B"/>
          <w:szCs w:val="21"/>
          <w:shd w:val="clear" w:color="auto" w:fill="F8F8F8"/>
        </w:rPr>
        <w:t xml:space="preserve">mechanism of </w:t>
      </w:r>
      <w:r w:rsidR="000324AC" w:rsidRPr="007E0054">
        <w:rPr>
          <w:rFonts w:ascii="Times New Roman" w:hAnsi="Times New Roman" w:cs="Times New Roman"/>
          <w:color w:val="2B2B2B"/>
          <w:szCs w:val="21"/>
          <w:shd w:val="clear" w:color="auto" w:fill="F8F8F8"/>
        </w:rPr>
        <w:t>action between One Belt And One Road strate</w:t>
      </w:r>
      <w:r w:rsidR="00EB6F5B">
        <w:rPr>
          <w:rFonts w:ascii="Times New Roman" w:hAnsi="Times New Roman" w:cs="Times New Roman" w:hint="eastAsia"/>
          <w:color w:val="2B2B2B"/>
          <w:szCs w:val="21"/>
          <w:shd w:val="clear" w:color="auto" w:fill="F8F8F8"/>
        </w:rPr>
        <w:t>-</w:t>
      </w:r>
      <w:r w:rsidR="000324AC" w:rsidRPr="007E0054">
        <w:rPr>
          <w:rFonts w:ascii="Times New Roman" w:hAnsi="Times New Roman" w:cs="Times New Roman"/>
          <w:color w:val="2B2B2B"/>
          <w:szCs w:val="21"/>
          <w:shd w:val="clear" w:color="auto" w:fill="F8F8F8"/>
        </w:rPr>
        <w:t xml:space="preserve">gy and </w:t>
      </w:r>
      <w:r w:rsidR="00037538" w:rsidRPr="007E0054">
        <w:rPr>
          <w:rFonts w:ascii="Times New Roman" w:hAnsi="Times New Roman" w:cs="Times New Roman"/>
          <w:color w:val="2B2B2B"/>
          <w:szCs w:val="21"/>
          <w:shd w:val="clear" w:color="auto" w:fill="F8F8F8"/>
        </w:rPr>
        <w:t>the development of inbound tourism in western China. In the end</w:t>
      </w:r>
      <w:r w:rsidR="007D7F53" w:rsidRPr="007E0054">
        <w:rPr>
          <w:rFonts w:ascii="Times New Roman" w:hAnsi="Times New Roman" w:cs="Times New Roman"/>
          <w:color w:val="2B2B2B"/>
          <w:szCs w:val="21"/>
          <w:shd w:val="clear" w:color="auto" w:fill="F8F8F8"/>
        </w:rPr>
        <w:t>,</w:t>
      </w:r>
      <w:r w:rsidR="00037538" w:rsidRPr="007E0054">
        <w:rPr>
          <w:rFonts w:ascii="Times New Roman" w:hAnsi="Times New Roman" w:cs="Times New Roman"/>
          <w:color w:val="2B2B2B"/>
          <w:szCs w:val="21"/>
          <w:shd w:val="clear" w:color="auto" w:fill="F8F8F8"/>
        </w:rPr>
        <w:t>we put forward</w:t>
      </w:r>
      <w:r w:rsidR="00B84CED" w:rsidRPr="007E0054">
        <w:rPr>
          <w:rFonts w:ascii="Times New Roman" w:hAnsi="Times New Roman" w:cs="Times New Roman"/>
          <w:color w:val="2B2B2B"/>
          <w:szCs w:val="21"/>
          <w:shd w:val="clear" w:color="auto" w:fill="F8F8F8"/>
        </w:rPr>
        <w:t xml:space="preserve"> the </w:t>
      </w:r>
      <w:r w:rsidR="00403FFA" w:rsidRPr="007E0054">
        <w:rPr>
          <w:rFonts w:ascii="Times New Roman" w:hAnsi="Times New Roman" w:cs="Times New Roman"/>
          <w:color w:val="2B2B2B"/>
          <w:szCs w:val="21"/>
          <w:shd w:val="clear" w:color="auto" w:fill="F8F8F8"/>
        </w:rPr>
        <w:t>strategic value</w:t>
      </w:r>
      <w:r w:rsidR="00EB6F5B">
        <w:rPr>
          <w:rFonts w:ascii="Times New Roman" w:hAnsi="Times New Roman" w:cs="Times New Roman" w:hint="eastAsia"/>
          <w:color w:val="2B2B2B"/>
          <w:szCs w:val="21"/>
          <w:shd w:val="clear" w:color="auto" w:fill="F8F8F8"/>
        </w:rPr>
        <w:t xml:space="preserve"> </w:t>
      </w:r>
      <w:r w:rsidR="00B84CED" w:rsidRPr="007E0054">
        <w:rPr>
          <w:rFonts w:ascii="Times New Roman" w:hAnsi="Times New Roman" w:cs="Times New Roman"/>
          <w:color w:val="2B2B2B"/>
          <w:szCs w:val="21"/>
          <w:shd w:val="clear" w:color="auto" w:fill="F8F8F8"/>
        </w:rPr>
        <w:t>and strategic framework of tourism industry</w:t>
      </w:r>
      <w:r w:rsidR="0079686C">
        <w:rPr>
          <w:rFonts w:ascii="Times New Roman" w:hAnsi="Times New Roman" w:cs="Times New Roman" w:hint="eastAsia"/>
          <w:color w:val="2B2B2B"/>
          <w:szCs w:val="21"/>
          <w:shd w:val="clear" w:color="auto" w:fill="F8F8F8"/>
        </w:rPr>
        <w:t>(</w:t>
      </w:r>
      <w:r w:rsidR="00B84CED" w:rsidRPr="007E0054">
        <w:rPr>
          <w:rFonts w:ascii="Times New Roman" w:hAnsi="Times New Roman" w:cs="Times New Roman"/>
          <w:color w:val="2B2B2B"/>
          <w:szCs w:val="21"/>
          <w:shd w:val="clear" w:color="auto" w:fill="F8F8F8"/>
        </w:rPr>
        <w:t>especially inbound tourism</w:t>
      </w:r>
      <w:r w:rsidR="0079686C">
        <w:rPr>
          <w:rFonts w:ascii="Times New Roman" w:hAnsi="Times New Roman" w:cs="Times New Roman" w:hint="eastAsia"/>
          <w:color w:val="2B2B2B"/>
          <w:szCs w:val="21"/>
          <w:shd w:val="clear" w:color="auto" w:fill="F8F8F8"/>
        </w:rPr>
        <w:t>)</w:t>
      </w:r>
      <w:r w:rsidR="00111E0C" w:rsidRPr="007E0054">
        <w:rPr>
          <w:rFonts w:ascii="Times New Roman" w:hAnsi="Times New Roman" w:cs="Times New Roman"/>
          <w:color w:val="2B2B2B"/>
          <w:szCs w:val="21"/>
          <w:shd w:val="clear" w:color="auto" w:fill="F8F8F8"/>
        </w:rPr>
        <w:t xml:space="preserve"> under “One Belt and One Road”</w:t>
      </w:r>
      <w:r w:rsidR="003732A6" w:rsidRPr="007E0054">
        <w:rPr>
          <w:rFonts w:ascii="Times New Roman" w:hAnsi="Times New Roman" w:cs="Times New Roman"/>
          <w:color w:val="2B2B2B"/>
          <w:szCs w:val="21"/>
          <w:shd w:val="clear" w:color="auto" w:fill="F8F8F8"/>
        </w:rPr>
        <w:t xml:space="preserve"> </w:t>
      </w:r>
      <w:r w:rsidR="00403FFA" w:rsidRPr="007E0054">
        <w:rPr>
          <w:rFonts w:ascii="Times New Roman" w:hAnsi="Times New Roman" w:cs="Times New Roman"/>
          <w:color w:val="2B2B2B"/>
          <w:szCs w:val="21"/>
          <w:shd w:val="clear" w:color="auto" w:fill="F8F8F8"/>
        </w:rPr>
        <w:t>b</w:t>
      </w:r>
      <w:r w:rsidR="003732A6" w:rsidRPr="007E0054">
        <w:rPr>
          <w:rFonts w:ascii="Times New Roman" w:hAnsi="Times New Roman" w:cs="Times New Roman"/>
          <w:color w:val="2B2B2B"/>
          <w:szCs w:val="21"/>
          <w:shd w:val="clear" w:color="auto" w:fill="F8F8F8"/>
        </w:rPr>
        <w:t>ackground.</w:t>
      </w:r>
    </w:p>
    <w:p w:rsidR="005A0D0E" w:rsidRDefault="00111E0C" w:rsidP="005A0D0E">
      <w:pPr>
        <w:spacing w:line="360" w:lineRule="auto"/>
        <w:jc w:val="left"/>
        <w:rPr>
          <w:rFonts w:ascii="Times New Roman" w:hAnsi="Times New Roman" w:cs="Times New Roman"/>
          <w:color w:val="2B2B2B"/>
          <w:szCs w:val="21"/>
          <w:shd w:val="clear" w:color="auto" w:fill="F8F8F8"/>
        </w:rPr>
      </w:pPr>
      <w:r w:rsidRPr="007E0054">
        <w:rPr>
          <w:rFonts w:ascii="Times New Roman" w:hAnsi="Times New Roman" w:cs="Times New Roman"/>
          <w:b/>
          <w:color w:val="2B2B2B"/>
          <w:sz w:val="22"/>
          <w:szCs w:val="21"/>
          <w:shd w:val="clear" w:color="auto" w:fill="F8F8F8"/>
        </w:rPr>
        <w:t>Key words</w:t>
      </w:r>
      <w:r w:rsidR="00C23782" w:rsidRPr="007E0054">
        <w:rPr>
          <w:rFonts w:ascii="Times New Roman" w:hAnsi="Times New Roman" w:cs="Times New Roman"/>
          <w:b/>
          <w:color w:val="2B2B2B"/>
          <w:sz w:val="22"/>
          <w:szCs w:val="21"/>
          <w:shd w:val="clear" w:color="auto" w:fill="F8F8F8"/>
        </w:rPr>
        <w:t xml:space="preserve"> </w:t>
      </w:r>
      <w:r w:rsidRPr="007E0054">
        <w:rPr>
          <w:rFonts w:ascii="Times New Roman" w:eastAsia="宋体" w:hAnsi="Times New Roman" w:cs="Times New Roman"/>
        </w:rPr>
        <w:t xml:space="preserve"> </w:t>
      </w:r>
      <w:r w:rsidRPr="0079686C">
        <w:rPr>
          <w:rFonts w:ascii="Times New Roman" w:hAnsi="Times New Roman" w:cs="Times New Roman"/>
          <w:color w:val="2B2B2B"/>
          <w:szCs w:val="21"/>
          <w:shd w:val="clear" w:color="auto" w:fill="F8F8F8"/>
        </w:rPr>
        <w:t>One Belt and One Road</w:t>
      </w:r>
      <w:r w:rsidR="0079686C" w:rsidRPr="0079686C">
        <w:rPr>
          <w:rFonts w:ascii="Times New Roman" w:hAnsi="Times New Roman" w:cs="Times New Roman" w:hint="eastAsia"/>
          <w:color w:val="2B2B2B"/>
          <w:szCs w:val="21"/>
          <w:shd w:val="clear" w:color="auto" w:fill="F8F8F8"/>
        </w:rPr>
        <w:t xml:space="preserve"> </w:t>
      </w:r>
      <w:r w:rsidR="0079686C">
        <w:rPr>
          <w:rFonts w:ascii="Times New Roman" w:hAnsi="Times New Roman" w:cs="Times New Roman" w:hint="eastAsia"/>
          <w:color w:val="2B2B2B"/>
          <w:szCs w:val="21"/>
          <w:shd w:val="clear" w:color="auto" w:fill="F8F8F8"/>
        </w:rPr>
        <w:t xml:space="preserve"> </w:t>
      </w:r>
      <w:r w:rsidR="001E2FB6" w:rsidRPr="007E0054">
        <w:rPr>
          <w:rFonts w:ascii="Times New Roman" w:hAnsi="Times New Roman" w:cs="Times New Roman"/>
          <w:color w:val="2B2B2B"/>
          <w:szCs w:val="21"/>
          <w:shd w:val="clear" w:color="auto" w:fill="F8F8F8"/>
        </w:rPr>
        <w:t>western China</w:t>
      </w:r>
      <w:r w:rsidR="0079686C">
        <w:rPr>
          <w:rFonts w:ascii="Times New Roman" w:hAnsi="Times New Roman" w:cs="Times New Roman" w:hint="eastAsia"/>
          <w:color w:val="2B2B2B"/>
          <w:szCs w:val="21"/>
          <w:shd w:val="clear" w:color="auto" w:fill="F8F8F8"/>
        </w:rPr>
        <w:t xml:space="preserve">  </w:t>
      </w:r>
      <w:r w:rsidR="001E2FB6" w:rsidRPr="007E0054">
        <w:rPr>
          <w:rFonts w:ascii="Times New Roman" w:hAnsi="Times New Roman" w:cs="Times New Roman"/>
          <w:color w:val="2B2B2B"/>
          <w:szCs w:val="21"/>
          <w:shd w:val="clear" w:color="auto" w:fill="F8F8F8"/>
        </w:rPr>
        <w:t>inboud tourism</w:t>
      </w:r>
      <w:r w:rsidR="0079686C">
        <w:rPr>
          <w:rFonts w:ascii="Times New Roman" w:hAnsi="Times New Roman" w:cs="Times New Roman" w:hint="eastAsia"/>
          <w:color w:val="2B2B2B"/>
          <w:szCs w:val="21"/>
          <w:shd w:val="clear" w:color="auto" w:fill="F8F8F8"/>
        </w:rPr>
        <w:t xml:space="preserve"> </w:t>
      </w:r>
      <w:r w:rsidR="001E2FB6" w:rsidRPr="0079686C">
        <w:rPr>
          <w:rFonts w:ascii="Times New Roman" w:hAnsi="Times New Roman" w:cs="Times New Roman"/>
          <w:color w:val="2B2B2B"/>
          <w:szCs w:val="21"/>
          <w:shd w:val="clear" w:color="auto" w:fill="F8F8F8"/>
        </w:rPr>
        <w:t xml:space="preserve"> strategy</w:t>
      </w:r>
    </w:p>
    <w:p w:rsidR="00D1200A" w:rsidRPr="007E0054" w:rsidRDefault="00D1200A" w:rsidP="005A0D0E">
      <w:pPr>
        <w:spacing w:line="360" w:lineRule="auto"/>
        <w:jc w:val="left"/>
        <w:rPr>
          <w:rFonts w:ascii="Times New Roman" w:hAnsi="Times New Roman" w:cs="Times New Roman"/>
          <w:color w:val="2B2B2B"/>
          <w:szCs w:val="21"/>
          <w:shd w:val="clear" w:color="auto" w:fill="F8F8F8"/>
        </w:rPr>
      </w:pPr>
    </w:p>
    <w:p w:rsidR="00DA1CF7" w:rsidRDefault="00DA1CF7" w:rsidP="005A0D0E">
      <w:pPr>
        <w:spacing w:line="360" w:lineRule="auto"/>
        <w:jc w:val="left"/>
        <w:rPr>
          <w:rFonts w:ascii="Times New Roman" w:hAnsi="Times New Roman"/>
        </w:rPr>
      </w:pPr>
      <w:r>
        <w:rPr>
          <w:rFonts w:ascii="Times New Roman" w:hAnsi="Times New Roman" w:hint="eastAsia"/>
        </w:rPr>
        <w:t>作者简介</w:t>
      </w:r>
      <w:r w:rsidR="0015385F">
        <w:rPr>
          <w:rFonts w:ascii="Times New Roman" w:hAnsi="Times New Roman" w:hint="eastAsia"/>
        </w:rPr>
        <w:t>：</w:t>
      </w:r>
      <w:r>
        <w:rPr>
          <w:rFonts w:ascii="Times New Roman" w:hAnsi="Times New Roman" w:hint="eastAsia"/>
        </w:rPr>
        <w:t>把多勋（</w:t>
      </w:r>
      <w:r>
        <w:rPr>
          <w:rFonts w:ascii="Times New Roman" w:hAnsi="Times New Roman" w:hint="eastAsia"/>
        </w:rPr>
        <w:t>1964-</w:t>
      </w:r>
      <w:r>
        <w:rPr>
          <w:rFonts w:ascii="Times New Roman" w:hAnsi="Times New Roman" w:hint="eastAsia"/>
        </w:rPr>
        <w:t>）</w:t>
      </w:r>
      <w:r w:rsidR="00C75F39">
        <w:rPr>
          <w:rFonts w:ascii="Times New Roman" w:hAnsi="Times New Roman" w:hint="eastAsia"/>
        </w:rPr>
        <w:t>，</w:t>
      </w:r>
      <w:r w:rsidR="00F17616">
        <w:rPr>
          <w:rFonts w:ascii="Times New Roman" w:hAnsi="Times New Roman" w:hint="eastAsia"/>
        </w:rPr>
        <w:t>西北</w:t>
      </w:r>
      <w:r w:rsidR="0079686C">
        <w:rPr>
          <w:rFonts w:ascii="Times New Roman" w:hAnsi="Times New Roman" w:hint="eastAsia"/>
        </w:rPr>
        <w:t>师范大学</w:t>
      </w:r>
      <w:r w:rsidR="00F17616">
        <w:rPr>
          <w:rFonts w:ascii="Times New Roman" w:hAnsi="Times New Roman" w:hint="eastAsia"/>
        </w:rPr>
        <w:t>旅游学院院长</w:t>
      </w:r>
      <w:r w:rsidR="00D27160">
        <w:rPr>
          <w:rFonts w:ascii="Times New Roman" w:hAnsi="Times New Roman" w:hint="eastAsia"/>
        </w:rPr>
        <w:t>，</w:t>
      </w:r>
      <w:r>
        <w:rPr>
          <w:rFonts w:ascii="Times New Roman" w:hAnsi="Times New Roman" w:hint="eastAsia"/>
        </w:rPr>
        <w:t>教授</w:t>
      </w:r>
      <w:r w:rsidR="00C75F39">
        <w:rPr>
          <w:rFonts w:ascii="Times New Roman" w:hAnsi="Times New Roman" w:hint="eastAsia"/>
        </w:rPr>
        <w:t>，</w:t>
      </w:r>
      <w:r>
        <w:rPr>
          <w:rFonts w:ascii="Times New Roman" w:hAnsi="Times New Roman" w:hint="eastAsia"/>
        </w:rPr>
        <w:t>研究方向</w:t>
      </w:r>
      <w:r w:rsidR="0015385F">
        <w:rPr>
          <w:rFonts w:ascii="Times New Roman" w:hAnsi="Times New Roman" w:hint="eastAsia"/>
        </w:rPr>
        <w:t>：</w:t>
      </w:r>
      <w:r>
        <w:rPr>
          <w:rFonts w:ascii="Times New Roman" w:hAnsi="Times New Roman" w:hint="eastAsia"/>
        </w:rPr>
        <w:t>旅游产业经济学与区域旅游发展</w:t>
      </w:r>
      <w:r w:rsidR="0015385F">
        <w:rPr>
          <w:rFonts w:ascii="Times New Roman" w:hAnsi="Times New Roman" w:hint="eastAsia"/>
        </w:rPr>
        <w:t>。</w:t>
      </w:r>
      <w:r>
        <w:rPr>
          <w:rFonts w:ascii="Times New Roman" w:hAnsi="Times New Roman" w:hint="eastAsia"/>
        </w:rPr>
        <w:t>温倩（</w:t>
      </w:r>
      <w:r>
        <w:rPr>
          <w:rFonts w:ascii="Times New Roman" w:hAnsi="Times New Roman" w:hint="eastAsia"/>
        </w:rPr>
        <w:t>1993-</w:t>
      </w:r>
      <w:r>
        <w:rPr>
          <w:rFonts w:ascii="Times New Roman" w:hAnsi="Times New Roman" w:hint="eastAsia"/>
        </w:rPr>
        <w:t>）</w:t>
      </w:r>
      <w:r w:rsidR="00D27160">
        <w:rPr>
          <w:rFonts w:ascii="Times New Roman" w:hAnsi="Times New Roman" w:hint="eastAsia"/>
        </w:rPr>
        <w:t>，西北师范大学旅游学院，</w:t>
      </w:r>
      <w:r>
        <w:rPr>
          <w:rFonts w:ascii="Times New Roman" w:hAnsi="Times New Roman" w:hint="eastAsia"/>
        </w:rPr>
        <w:t>硕士研究生</w:t>
      </w:r>
      <w:r w:rsidR="00D27160">
        <w:rPr>
          <w:rFonts w:ascii="Times New Roman" w:hAnsi="Times New Roman" w:hint="eastAsia"/>
        </w:rPr>
        <w:t>，</w:t>
      </w:r>
      <w:r>
        <w:rPr>
          <w:rFonts w:ascii="Times New Roman" w:hAnsi="Times New Roman" w:hint="eastAsia"/>
        </w:rPr>
        <w:t>研究方向</w:t>
      </w:r>
      <w:r w:rsidR="0015385F">
        <w:rPr>
          <w:rFonts w:ascii="Times New Roman" w:hAnsi="Times New Roman" w:hint="eastAsia"/>
        </w:rPr>
        <w:t>：</w:t>
      </w:r>
      <w:r>
        <w:rPr>
          <w:rFonts w:ascii="Times New Roman" w:hAnsi="Times New Roman" w:hint="eastAsia"/>
        </w:rPr>
        <w:t>旅游产业经济学与区域旅游发展</w:t>
      </w:r>
    </w:p>
    <w:p w:rsidR="00DA1CF7" w:rsidRDefault="00DA1CF7" w:rsidP="00DA1CF7">
      <w:pPr>
        <w:rPr>
          <w:rFonts w:hAnsi="宋体"/>
          <w:color w:val="000000"/>
          <w:szCs w:val="21"/>
        </w:rPr>
      </w:pPr>
      <w:r>
        <w:rPr>
          <w:rFonts w:ascii="Times New Roman" w:hAnsi="Times New Roman" w:hint="eastAsia"/>
        </w:rPr>
        <w:t>通讯地址：</w:t>
      </w:r>
      <w:r>
        <w:rPr>
          <w:rFonts w:hAnsi="宋体" w:hint="eastAsia"/>
          <w:color w:val="000000"/>
          <w:szCs w:val="21"/>
        </w:rPr>
        <w:t>甘肃省兰州市安宁东路</w:t>
      </w:r>
      <w:r>
        <w:rPr>
          <w:rFonts w:hAnsi="宋体" w:hint="eastAsia"/>
          <w:color w:val="000000"/>
          <w:szCs w:val="21"/>
        </w:rPr>
        <w:t>967</w:t>
      </w:r>
      <w:r>
        <w:rPr>
          <w:rFonts w:hAnsi="宋体" w:hint="eastAsia"/>
          <w:color w:val="000000"/>
          <w:szCs w:val="21"/>
        </w:rPr>
        <w:t>号西北师范大学旅游学院</w:t>
      </w:r>
    </w:p>
    <w:p w:rsidR="00DA1CF7" w:rsidRDefault="00DA1CF7" w:rsidP="00DA1CF7">
      <w:pPr>
        <w:spacing w:line="300" w:lineRule="auto"/>
        <w:rPr>
          <w:rFonts w:hAnsi="宋体"/>
          <w:color w:val="000000"/>
          <w:szCs w:val="21"/>
        </w:rPr>
      </w:pPr>
      <w:r>
        <w:rPr>
          <w:rFonts w:hAnsi="宋体" w:hint="eastAsia"/>
          <w:color w:val="000000"/>
          <w:szCs w:val="21"/>
        </w:rPr>
        <w:t>邮政编码：</w:t>
      </w:r>
      <w:r>
        <w:rPr>
          <w:rFonts w:hAnsi="宋体" w:hint="eastAsia"/>
          <w:color w:val="000000"/>
          <w:szCs w:val="21"/>
        </w:rPr>
        <w:t>730070</w:t>
      </w:r>
    </w:p>
    <w:p w:rsidR="00DA1CF7" w:rsidRDefault="00DA1CF7" w:rsidP="00DA1CF7">
      <w:pPr>
        <w:rPr>
          <w:rFonts w:ascii="Times New Roman" w:hAnsi="Times New Roman"/>
        </w:rPr>
      </w:pPr>
      <w:r>
        <w:rPr>
          <w:rFonts w:ascii="Times New Roman" w:hAnsi="Times New Roman" w:hint="eastAsia"/>
        </w:rPr>
        <w:t>联系电话：</w:t>
      </w:r>
      <w:r>
        <w:rPr>
          <w:rFonts w:ascii="Times New Roman" w:hAnsi="Times New Roman" w:hint="eastAsia"/>
        </w:rPr>
        <w:t>13893221840</w:t>
      </w:r>
      <w:r w:rsidR="0015385F">
        <w:rPr>
          <w:rFonts w:ascii="Times New Roman" w:hAnsi="Times New Roman" w:hint="eastAsia"/>
        </w:rPr>
        <w:t>，</w:t>
      </w:r>
      <w:r w:rsidR="00E93AC0">
        <w:rPr>
          <w:rFonts w:ascii="Times New Roman" w:hAnsi="Times New Roman" w:hint="eastAsia"/>
        </w:rPr>
        <w:t>1860948</w:t>
      </w:r>
      <w:r w:rsidR="002833FE">
        <w:rPr>
          <w:rFonts w:ascii="Times New Roman" w:hAnsi="Times New Roman" w:hint="eastAsia"/>
        </w:rPr>
        <w:t>5426</w:t>
      </w:r>
    </w:p>
    <w:p w:rsidR="00DA1CF7" w:rsidRDefault="00DA1CF7" w:rsidP="00DA1CF7">
      <w:pPr>
        <w:rPr>
          <w:rFonts w:ascii="Times New Roman" w:hAnsi="Times New Roman"/>
        </w:rPr>
      </w:pPr>
      <w:r>
        <w:rPr>
          <w:rFonts w:ascii="Times New Roman" w:hAnsi="Times New Roman" w:hint="eastAsia"/>
        </w:rPr>
        <w:t>电子信箱：</w:t>
      </w:r>
      <w:hyperlink r:id="rId9" w:history="1">
        <w:r w:rsidR="0015385F" w:rsidRPr="0085238B">
          <w:rPr>
            <w:rStyle w:val="ae"/>
            <w:rFonts w:ascii="Times New Roman" w:hAnsi="Times New Roman" w:hint="eastAsia"/>
          </w:rPr>
          <w:t>baduoxun@126.com</w:t>
        </w:r>
        <w:r w:rsidR="0015385F" w:rsidRPr="0085238B">
          <w:rPr>
            <w:rStyle w:val="ae"/>
            <w:rFonts w:ascii="Times New Roman" w:hAnsi="Times New Roman" w:hint="eastAsia"/>
          </w:rPr>
          <w:t>；</w:t>
        </w:r>
        <w:r w:rsidR="0015385F" w:rsidRPr="0085238B">
          <w:rPr>
            <w:rStyle w:val="ae"/>
            <w:rFonts w:ascii="Times New Roman" w:hAnsi="Times New Roman" w:hint="eastAsia"/>
          </w:rPr>
          <w:t>wq65351031@126.com</w:t>
        </w:r>
      </w:hyperlink>
      <w:r w:rsidR="0015385F">
        <w:rPr>
          <w:rFonts w:ascii="Times New Roman" w:hAnsi="Times New Roman" w:hint="eastAsia"/>
        </w:rPr>
        <w:t>；</w:t>
      </w:r>
    </w:p>
    <w:p w:rsidR="001861CD" w:rsidRDefault="001861CD">
      <w:pPr>
        <w:widowControl/>
        <w:jc w:val="left"/>
        <w:rPr>
          <w:rFonts w:eastAsia="宋体" w:hAnsi="Calibri" w:cs="Times New Roman"/>
          <w:b/>
        </w:rPr>
      </w:pPr>
    </w:p>
    <w:p w:rsidR="001861CD" w:rsidRDefault="001861CD">
      <w:pPr>
        <w:widowControl/>
        <w:jc w:val="left"/>
        <w:rPr>
          <w:rFonts w:eastAsia="宋体" w:hAnsi="Calibri" w:cs="Times New Roman"/>
          <w:b/>
        </w:rPr>
      </w:pPr>
      <w:r>
        <w:rPr>
          <w:rFonts w:eastAsia="宋体" w:hAnsi="Calibri" w:cs="Times New Roman"/>
          <w:b/>
        </w:rPr>
        <w:br w:type="page"/>
      </w:r>
    </w:p>
    <w:p w:rsidR="001861CD" w:rsidRDefault="001861CD">
      <w:pPr>
        <w:widowControl/>
        <w:jc w:val="left"/>
        <w:rPr>
          <w:rFonts w:eastAsia="宋体" w:hAnsi="Calibri" w:cs="Times New Roman"/>
          <w:b/>
        </w:rPr>
      </w:pPr>
    </w:p>
    <w:p w:rsidR="00B34920" w:rsidRPr="002878D3" w:rsidRDefault="0021363C" w:rsidP="00B34920">
      <w:pPr>
        <w:spacing w:line="360" w:lineRule="auto"/>
        <w:jc w:val="center"/>
        <w:rPr>
          <w:rFonts w:eastAsia="宋体" w:hAnsi="Calibri" w:cs="Times New Roman"/>
          <w:b/>
          <w:sz w:val="32"/>
          <w:szCs w:val="32"/>
        </w:rPr>
      </w:pPr>
      <w:r w:rsidRPr="002878D3">
        <w:rPr>
          <w:rFonts w:eastAsia="宋体" w:hAnsi="Calibri" w:cs="Times New Roman" w:hint="eastAsia"/>
          <w:b/>
          <w:sz w:val="32"/>
          <w:szCs w:val="32"/>
        </w:rPr>
        <w:t>“一带一路”</w:t>
      </w:r>
      <w:r w:rsidR="00991C30" w:rsidRPr="002878D3">
        <w:rPr>
          <w:rFonts w:eastAsia="宋体" w:hAnsi="Calibri" w:cs="Times New Roman" w:hint="eastAsia"/>
          <w:b/>
          <w:sz w:val="32"/>
          <w:szCs w:val="32"/>
        </w:rPr>
        <w:t>背景下</w:t>
      </w:r>
      <w:r w:rsidR="005C7C66" w:rsidRPr="002878D3">
        <w:rPr>
          <w:rFonts w:eastAsia="宋体" w:hAnsi="Calibri" w:cs="Times New Roman" w:hint="eastAsia"/>
          <w:b/>
          <w:sz w:val="32"/>
          <w:szCs w:val="32"/>
        </w:rPr>
        <w:t>西部地区入境旅游</w:t>
      </w:r>
      <w:r w:rsidR="00991C30" w:rsidRPr="002878D3">
        <w:rPr>
          <w:rFonts w:eastAsia="宋体" w:hAnsi="Calibri" w:cs="Times New Roman" w:hint="eastAsia"/>
          <w:b/>
          <w:sz w:val="32"/>
          <w:szCs w:val="32"/>
        </w:rPr>
        <w:t>趋势</w:t>
      </w:r>
      <w:r w:rsidR="005C7C66" w:rsidRPr="002878D3">
        <w:rPr>
          <w:rFonts w:eastAsia="宋体" w:hAnsi="Calibri" w:cs="Times New Roman" w:hint="eastAsia"/>
          <w:b/>
          <w:sz w:val="32"/>
          <w:szCs w:val="32"/>
        </w:rPr>
        <w:t>与发展</w:t>
      </w:r>
      <w:r w:rsidR="00B34920" w:rsidRPr="002878D3">
        <w:rPr>
          <w:rFonts w:eastAsia="宋体" w:hAnsi="Calibri" w:cs="Times New Roman" w:hint="eastAsia"/>
          <w:b/>
          <w:sz w:val="32"/>
          <w:szCs w:val="32"/>
        </w:rPr>
        <w:t>研究</w:t>
      </w:r>
    </w:p>
    <w:p w:rsidR="00B34920" w:rsidRDefault="007F1666" w:rsidP="00A85811">
      <w:pPr>
        <w:spacing w:line="360" w:lineRule="auto"/>
      </w:pPr>
      <w:r w:rsidRPr="00A85811">
        <w:rPr>
          <w:rFonts w:hint="eastAsia"/>
          <w:b/>
        </w:rPr>
        <w:t>内容提要</w:t>
      </w:r>
      <w:r w:rsidR="00A85811">
        <w:rPr>
          <w:rFonts w:hint="eastAsia"/>
        </w:rPr>
        <w:t xml:space="preserve">  </w:t>
      </w:r>
      <w:r w:rsidR="0021363C">
        <w:rPr>
          <w:rFonts w:hint="eastAsia"/>
        </w:rPr>
        <w:t>“一带一路”倡</w:t>
      </w:r>
      <w:r w:rsidR="00B85443">
        <w:rPr>
          <w:rFonts w:hint="eastAsia"/>
        </w:rPr>
        <w:t>议是近年来对我国入境旅游尤其是丝绸之路入境旅游的发展有极大战略效应的制度安排</w:t>
      </w:r>
      <w:r w:rsidR="0021363C">
        <w:rPr>
          <w:rFonts w:hint="eastAsia"/>
        </w:rPr>
        <w:t>，导致了近年来我国丝绸之</w:t>
      </w:r>
      <w:r w:rsidR="00B85443">
        <w:rPr>
          <w:rFonts w:hint="eastAsia"/>
        </w:rPr>
        <w:t>路沿线西部区域入境旅游的迅速发展，并且使这一区域以入境旅游的</w:t>
      </w:r>
      <w:r w:rsidR="0021363C">
        <w:rPr>
          <w:rFonts w:hint="eastAsia"/>
        </w:rPr>
        <w:t>发展为标志的现代旅游业在产业结构层面上快速成长为具有区域增长和发展意义的优势产业或先导产业</w:t>
      </w:r>
      <w:r w:rsidR="000803BC">
        <w:rPr>
          <w:rFonts w:hint="eastAsia"/>
        </w:rPr>
        <w:t>，</w:t>
      </w:r>
      <w:r w:rsidR="00CA046A">
        <w:rPr>
          <w:rFonts w:hint="eastAsia"/>
        </w:rPr>
        <w:t>并启示着西部部分区域开放经济</w:t>
      </w:r>
      <w:r w:rsidR="000803BC">
        <w:rPr>
          <w:rFonts w:hint="eastAsia"/>
        </w:rPr>
        <w:t>格局</w:t>
      </w:r>
      <w:r w:rsidR="00CA046A">
        <w:rPr>
          <w:rFonts w:hint="eastAsia"/>
        </w:rPr>
        <w:t>的新突破</w:t>
      </w:r>
      <w:r w:rsidR="0021363C">
        <w:rPr>
          <w:rFonts w:hint="eastAsia"/>
        </w:rPr>
        <w:t>。本文旨在系统分析近</w:t>
      </w:r>
      <w:r w:rsidR="0021363C" w:rsidRPr="00D16B31">
        <w:rPr>
          <w:rFonts w:ascii="Times New Roman" w:hAnsi="Times New Roman" w:cs="Times New Roman"/>
        </w:rPr>
        <w:t>10</w:t>
      </w:r>
      <w:r w:rsidR="0021363C" w:rsidRPr="00D16B31">
        <w:rPr>
          <w:rFonts w:ascii="Times New Roman" w:cs="Times New Roman"/>
        </w:rPr>
        <w:t>年</w:t>
      </w:r>
      <w:r w:rsidR="0021363C">
        <w:rPr>
          <w:rFonts w:hint="eastAsia"/>
        </w:rPr>
        <w:t>来丝绸之路沿线西部区域入境旅游的发展，在时间序列中将这一区域入境旅游的发展与全国及其他区域的发展进</w:t>
      </w:r>
      <w:r w:rsidR="000803BC">
        <w:rPr>
          <w:rFonts w:hint="eastAsia"/>
        </w:rPr>
        <w:t>行了比较分析，探讨和阐明了丝绸之路沿线西部区域入境旅游发展的</w:t>
      </w:r>
      <w:r w:rsidR="0021363C">
        <w:rPr>
          <w:rFonts w:hint="eastAsia"/>
        </w:rPr>
        <w:t>趋势，</w:t>
      </w:r>
      <w:r w:rsidR="000803BC">
        <w:rPr>
          <w:rFonts w:hint="eastAsia"/>
        </w:rPr>
        <w:t>系统论证了</w:t>
      </w:r>
      <w:r w:rsidR="00417FA4">
        <w:rPr>
          <w:rFonts w:hint="eastAsia"/>
        </w:rPr>
        <w:t>“一带一路”</w:t>
      </w:r>
      <w:r w:rsidR="002C3BF0">
        <w:rPr>
          <w:rFonts w:hint="eastAsia"/>
        </w:rPr>
        <w:t>战略与</w:t>
      </w:r>
      <w:r w:rsidR="00E371DD">
        <w:rPr>
          <w:rFonts w:hint="eastAsia"/>
        </w:rPr>
        <w:t>西部跨</w:t>
      </w:r>
      <w:r w:rsidR="00417FA4">
        <w:rPr>
          <w:rFonts w:hint="eastAsia"/>
        </w:rPr>
        <w:t>境旅游发展的</w:t>
      </w:r>
      <w:r w:rsidR="002C3BF0">
        <w:rPr>
          <w:rFonts w:hint="eastAsia"/>
        </w:rPr>
        <w:t>互动机理，</w:t>
      </w:r>
      <w:r w:rsidR="0021363C">
        <w:rPr>
          <w:rFonts w:hint="eastAsia"/>
        </w:rPr>
        <w:t>并提出了这一区域旅游业尤其是入境旅游在“一带一路”背景下的战略价值和战略构架。</w:t>
      </w:r>
    </w:p>
    <w:p w:rsidR="007F1666" w:rsidRDefault="007F1666" w:rsidP="00A85811">
      <w:pPr>
        <w:tabs>
          <w:tab w:val="left" w:pos="4935"/>
        </w:tabs>
        <w:spacing w:line="360" w:lineRule="auto"/>
      </w:pPr>
      <w:r w:rsidRPr="00A85811">
        <w:rPr>
          <w:rFonts w:hint="eastAsia"/>
          <w:b/>
        </w:rPr>
        <w:t>关</w:t>
      </w:r>
      <w:r w:rsidR="000B14BC">
        <w:rPr>
          <w:rFonts w:hint="eastAsia"/>
          <w:b/>
        </w:rPr>
        <w:t xml:space="preserve"> </w:t>
      </w:r>
      <w:r w:rsidRPr="00A85811">
        <w:rPr>
          <w:rFonts w:hint="eastAsia"/>
          <w:b/>
        </w:rPr>
        <w:t>键</w:t>
      </w:r>
      <w:r w:rsidR="000B14BC">
        <w:rPr>
          <w:rFonts w:hint="eastAsia"/>
          <w:b/>
        </w:rPr>
        <w:t xml:space="preserve"> </w:t>
      </w:r>
      <w:r w:rsidR="000B14BC">
        <w:rPr>
          <w:rFonts w:hint="eastAsia"/>
          <w:b/>
        </w:rPr>
        <w:t>词</w:t>
      </w:r>
      <w:r w:rsidR="00A85811">
        <w:rPr>
          <w:rFonts w:hint="eastAsia"/>
        </w:rPr>
        <w:t xml:space="preserve">  </w:t>
      </w:r>
      <w:r w:rsidR="0021363C">
        <w:rPr>
          <w:rFonts w:hint="eastAsia"/>
        </w:rPr>
        <w:t>一带一路</w:t>
      </w:r>
      <w:r w:rsidR="0021363C">
        <w:rPr>
          <w:rFonts w:hint="eastAsia"/>
        </w:rPr>
        <w:t xml:space="preserve">  </w:t>
      </w:r>
      <w:r w:rsidR="00A85811">
        <w:rPr>
          <w:rFonts w:hint="eastAsia"/>
        </w:rPr>
        <w:t>西部地区</w:t>
      </w:r>
      <w:r w:rsidR="00A85811">
        <w:rPr>
          <w:rFonts w:hint="eastAsia"/>
        </w:rPr>
        <w:t xml:space="preserve"> </w:t>
      </w:r>
      <w:r w:rsidR="00A85811">
        <w:rPr>
          <w:rFonts w:hint="eastAsia"/>
        </w:rPr>
        <w:t>入境旅游</w:t>
      </w:r>
      <w:r w:rsidR="00A85811">
        <w:rPr>
          <w:rFonts w:hint="eastAsia"/>
        </w:rPr>
        <w:t xml:space="preserve">  </w:t>
      </w:r>
      <w:r w:rsidR="00A85811">
        <w:rPr>
          <w:rFonts w:hint="eastAsia"/>
        </w:rPr>
        <w:t>战略</w:t>
      </w:r>
      <w:r w:rsidR="00A85811">
        <w:tab/>
      </w:r>
    </w:p>
    <w:p w:rsidR="00D17E48" w:rsidRDefault="00D17E48" w:rsidP="00D17E48">
      <w:pPr>
        <w:spacing w:line="360" w:lineRule="auto"/>
        <w:ind w:firstLineChars="200" w:firstLine="420"/>
      </w:pPr>
      <w:r>
        <w:rPr>
          <w:rFonts w:hint="eastAsia"/>
        </w:rPr>
        <w:t>“一带一路”</w:t>
      </w:r>
      <w:r w:rsidRPr="00EE571C">
        <w:rPr>
          <w:rFonts w:hint="eastAsia"/>
        </w:rPr>
        <w:t>战略背景下</w:t>
      </w:r>
      <w:r>
        <w:rPr>
          <w:rFonts w:hint="eastAsia"/>
        </w:rPr>
        <w:t>西部旅游产业发展面临着</w:t>
      </w:r>
      <w:r w:rsidRPr="00EE571C">
        <w:rPr>
          <w:rFonts w:hint="eastAsia"/>
        </w:rPr>
        <w:t>不同的战略选择</w:t>
      </w:r>
      <w:r>
        <w:rPr>
          <w:rFonts w:hint="eastAsia"/>
        </w:rPr>
        <w:t>，实际上，从</w:t>
      </w:r>
      <w:r>
        <w:rPr>
          <w:rFonts w:hint="eastAsia"/>
        </w:rPr>
        <w:t>2014</w:t>
      </w:r>
      <w:r>
        <w:rPr>
          <w:rFonts w:hint="eastAsia"/>
        </w:rPr>
        <w:t>年到现在，如果以丝绸</w:t>
      </w:r>
      <w:r w:rsidRPr="004A6545">
        <w:rPr>
          <w:rFonts w:hint="eastAsia"/>
        </w:rPr>
        <w:t>之路经济带沿</w:t>
      </w:r>
      <w:r>
        <w:rPr>
          <w:rFonts w:hint="eastAsia"/>
        </w:rPr>
        <w:t>线西北地区为国内和跨境旅游目的地，显著地，无论是国内旅游还是入境旅游，客源结构都</w:t>
      </w:r>
      <w:r w:rsidRPr="00EE571C">
        <w:rPr>
          <w:rFonts w:hint="eastAsia"/>
        </w:rPr>
        <w:t>已</w:t>
      </w:r>
      <w:r>
        <w:rPr>
          <w:rFonts w:hint="eastAsia"/>
        </w:rPr>
        <w:t>有显著改善。显然，在“一带一路”战略向</w:t>
      </w:r>
      <w:r w:rsidRPr="00151E9E">
        <w:rPr>
          <w:rFonts w:hint="eastAsia"/>
        </w:rPr>
        <w:t>纵深推进</w:t>
      </w:r>
      <w:r>
        <w:rPr>
          <w:rFonts w:hint="eastAsia"/>
        </w:rPr>
        <w:t>的过程中，西部地区旅游产业市场结构已经发生变化，</w:t>
      </w:r>
      <w:r w:rsidRPr="00B34920">
        <w:rPr>
          <w:rFonts w:hint="eastAsia"/>
        </w:rPr>
        <w:t>创新推动这一</w:t>
      </w:r>
      <w:r>
        <w:rPr>
          <w:rFonts w:hint="eastAsia"/>
        </w:rPr>
        <w:t>区域的旅游战略向结构不断优化和具有开放特质的方向转型，西北地区各省区应顺应旅游产业发展的内外</w:t>
      </w:r>
      <w:r w:rsidRPr="00151E9E">
        <w:rPr>
          <w:rFonts w:hint="eastAsia"/>
        </w:rPr>
        <w:t>部环境因素的变化和发展条件的变化顺势向前，制定精准的旅游产业发展战略</w:t>
      </w:r>
      <w:r>
        <w:rPr>
          <w:rFonts w:hint="eastAsia"/>
        </w:rPr>
        <w:t>，已创新</w:t>
      </w:r>
      <w:r w:rsidRPr="00151E9E">
        <w:rPr>
          <w:rFonts w:hint="eastAsia"/>
        </w:rPr>
        <w:t>开</w:t>
      </w:r>
      <w:r>
        <w:rPr>
          <w:rFonts w:hint="eastAsia"/>
        </w:rPr>
        <w:t>放发展战略格局，从而推动西北地区在新一轮开放态势和条件下的实现区域经济</w:t>
      </w:r>
      <w:r w:rsidRPr="00151E9E">
        <w:rPr>
          <w:rFonts w:hint="eastAsia"/>
        </w:rPr>
        <w:t>跨越式</w:t>
      </w:r>
      <w:r>
        <w:rPr>
          <w:rFonts w:hint="eastAsia"/>
        </w:rPr>
        <w:t>发展。</w:t>
      </w:r>
    </w:p>
    <w:p w:rsidR="00B34920" w:rsidRDefault="00536DEB" w:rsidP="00262E83">
      <w:pPr>
        <w:spacing w:line="360" w:lineRule="auto"/>
        <w:ind w:firstLine="420"/>
        <w:rPr>
          <w:rFonts w:eastAsia="宋体" w:hAnsi="Calibri" w:cs="Times New Roman"/>
        </w:rPr>
      </w:pPr>
      <w:r>
        <w:rPr>
          <w:rFonts w:eastAsia="宋体" w:hAnsi="Calibri" w:cs="Times New Roman" w:hint="eastAsia"/>
        </w:rPr>
        <w:t>入境旅游是国际服务贸易的重要内容，其本质属跨境消费范畴，</w:t>
      </w:r>
      <w:r w:rsidR="00B656D7">
        <w:rPr>
          <w:rFonts w:eastAsia="宋体" w:hAnsi="Calibri" w:cs="Times New Roman" w:hint="eastAsia"/>
        </w:rPr>
        <w:t>鉴于旅游产业在国民经济核算中的重要地位和入境旅游在旅游市场中的重要作用，与入境旅游相关的研究一直为学术界所关注。</w:t>
      </w:r>
      <w:r w:rsidR="009173EE">
        <w:rPr>
          <w:rFonts w:eastAsia="宋体" w:hAnsi="Calibri" w:cs="Times New Roman" w:hint="eastAsia"/>
        </w:rPr>
        <w:t>国外学者对入境旅游的</w:t>
      </w:r>
      <w:r w:rsidR="00647C31">
        <w:rPr>
          <w:rFonts w:eastAsia="宋体" w:hAnsi="Calibri" w:cs="Times New Roman" w:hint="eastAsia"/>
        </w:rPr>
        <w:t>研究较早且</w:t>
      </w:r>
      <w:r w:rsidR="009C392B">
        <w:rPr>
          <w:rFonts w:eastAsia="宋体" w:hAnsi="Calibri" w:cs="Times New Roman" w:hint="eastAsia"/>
        </w:rPr>
        <w:t>体系成熟</w:t>
      </w:r>
      <w:r w:rsidR="00647C31">
        <w:rPr>
          <w:rFonts w:eastAsia="宋体" w:hAnsi="Calibri" w:cs="Times New Roman" w:hint="eastAsia"/>
        </w:rPr>
        <w:t>，随着国家社会经济的发展和国际政治格局的改变</w:t>
      </w:r>
      <w:r w:rsidR="00730F3D">
        <w:rPr>
          <w:rFonts w:eastAsia="宋体" w:hAnsi="Calibri" w:cs="Times New Roman" w:hint="eastAsia"/>
        </w:rPr>
        <w:t>（如逆全球化与恐怖主义）</w:t>
      </w:r>
      <w:r w:rsidR="00647C31">
        <w:rPr>
          <w:rFonts w:eastAsia="宋体" w:hAnsi="Calibri" w:cs="Times New Roman" w:hint="eastAsia"/>
        </w:rPr>
        <w:t>，国外学者近些年以旅游危机事件对国际</w:t>
      </w:r>
      <w:r w:rsidR="00360668">
        <w:rPr>
          <w:rFonts w:eastAsia="宋体" w:hAnsi="Calibri" w:cs="Times New Roman" w:hint="eastAsia"/>
        </w:rPr>
        <w:t>旅游的影响为关注焦点并取得了突破性的成果，如</w:t>
      </w:r>
      <w:r w:rsidR="00647C31" w:rsidRPr="00D16B31">
        <w:rPr>
          <w:rFonts w:ascii="Times New Roman" w:eastAsia="宋体" w:hAnsi="Times New Roman" w:cs="Times New Roman"/>
        </w:rPr>
        <w:t>Susana Cro</w:t>
      </w:r>
      <w:r w:rsidR="00647C31" w:rsidRPr="00D16B31">
        <w:rPr>
          <w:rFonts w:ascii="Times New Roman" w:eastAsia="宋体" w:hAnsi="Calibri" w:cs="Times New Roman"/>
        </w:rPr>
        <w:t>（</w:t>
      </w:r>
      <w:r w:rsidR="00647C31" w:rsidRPr="00D16B31">
        <w:rPr>
          <w:rFonts w:ascii="Times New Roman" w:eastAsia="宋体" w:hAnsi="Times New Roman" w:cs="Times New Roman"/>
        </w:rPr>
        <w:t>2007</w:t>
      </w:r>
      <w:r w:rsidR="00647C31" w:rsidRPr="00D16B31">
        <w:rPr>
          <w:rFonts w:ascii="Times New Roman" w:eastAsia="宋体" w:hAnsi="Calibri" w:cs="Times New Roman"/>
        </w:rPr>
        <w:t>）</w:t>
      </w:r>
      <w:r w:rsidR="00647C31">
        <w:rPr>
          <w:rFonts w:eastAsia="宋体" w:hAnsi="Calibri" w:cs="Times New Roman" w:hint="eastAsia"/>
        </w:rPr>
        <w:t>使用结构断裂法（</w:t>
      </w:r>
      <w:r w:rsidR="00647C31" w:rsidRPr="00D16B31">
        <w:rPr>
          <w:rFonts w:ascii="Times New Roman" w:eastAsia="宋体" w:hAnsi="Times New Roman" w:cs="Times New Roman"/>
        </w:rPr>
        <w:t>Structural Break Test</w:t>
      </w:r>
      <w:r w:rsidR="00647C31" w:rsidRPr="00D16B31">
        <w:rPr>
          <w:rFonts w:ascii="Times New Roman" w:eastAsia="宋体" w:hAnsi="Calibri" w:cs="Times New Roman"/>
        </w:rPr>
        <w:t>）</w:t>
      </w:r>
      <w:r w:rsidR="00647C31" w:rsidRPr="00647C31">
        <w:rPr>
          <w:rFonts w:eastAsia="宋体" w:hAnsi="Calibri" w:cs="Times New Roman"/>
        </w:rPr>
        <w:t>将旅游危机日期与结构性突变的年代进行比较</w:t>
      </w:r>
      <w:r w:rsidR="00647C31">
        <w:rPr>
          <w:rFonts w:eastAsia="宋体" w:hAnsi="Calibri" w:cs="Times New Roman" w:hint="eastAsia"/>
        </w:rPr>
        <w:t>以预测事前旅游危机</w:t>
      </w:r>
      <w:r w:rsidR="00F01191">
        <w:rPr>
          <w:rFonts w:eastAsia="宋体" w:hAnsi="Calibri" w:cs="Times New Roman" w:hint="eastAsia"/>
        </w:rPr>
        <w:t>，填补了国际学术界对于事前旅游危机研究的空白</w:t>
      </w:r>
      <w:r w:rsidR="00360668">
        <w:rPr>
          <w:rStyle w:val="a8"/>
          <w:rFonts w:eastAsia="宋体" w:hAnsi="Calibri" w:cs="Times New Roman"/>
        </w:rPr>
        <w:endnoteReference w:customMarkFollows="1" w:id="1"/>
        <w:t>[1]</w:t>
      </w:r>
      <w:r w:rsidR="00647C31">
        <w:rPr>
          <w:rFonts w:eastAsia="宋体" w:hAnsi="Calibri" w:cs="Times New Roman" w:hint="eastAsia"/>
        </w:rPr>
        <w:t>；</w:t>
      </w:r>
      <w:r w:rsidR="009C392B">
        <w:rPr>
          <w:rFonts w:eastAsia="宋体" w:hAnsi="Calibri" w:cs="Times New Roman" w:hint="eastAsia"/>
        </w:rPr>
        <w:t>国内学者对于入境旅游的研究相对较晚但已相对成熟，研究内容主要涉及入境旅游空间结构、客流流向、客源市场结构、市场发展规律、旅游竞争力、</w:t>
      </w:r>
      <w:r w:rsidR="00454010">
        <w:rPr>
          <w:rFonts w:eastAsia="宋体" w:hAnsi="Calibri" w:cs="Times New Roman" w:hint="eastAsia"/>
        </w:rPr>
        <w:t>危机</w:t>
      </w:r>
      <w:r w:rsidR="009C392B">
        <w:rPr>
          <w:rFonts w:eastAsia="宋体" w:hAnsi="Calibri" w:cs="Times New Roman" w:hint="eastAsia"/>
        </w:rPr>
        <w:t>事件以及与宏观经济之间关系</w:t>
      </w:r>
      <w:r w:rsidR="00875F1F">
        <w:rPr>
          <w:rFonts w:eastAsia="宋体" w:hAnsi="Calibri" w:cs="Times New Roman" w:hint="eastAsia"/>
        </w:rPr>
        <w:t>等方面</w:t>
      </w:r>
      <w:r w:rsidR="009C392B">
        <w:rPr>
          <w:rFonts w:eastAsia="宋体" w:hAnsi="Calibri" w:cs="Times New Roman" w:hint="eastAsia"/>
        </w:rPr>
        <w:t>的研究</w:t>
      </w:r>
      <w:r w:rsidR="0048618B">
        <w:rPr>
          <w:rFonts w:eastAsia="宋体" w:hAnsi="Calibri" w:cs="Times New Roman" w:hint="eastAsia"/>
        </w:rPr>
        <w:t>，</w:t>
      </w:r>
      <w:r w:rsidR="00875F1F">
        <w:rPr>
          <w:rFonts w:eastAsia="宋体" w:hAnsi="Calibri" w:cs="Times New Roman" w:hint="eastAsia"/>
        </w:rPr>
        <w:t>并兼具</w:t>
      </w:r>
      <w:r w:rsidR="0048618B">
        <w:rPr>
          <w:rFonts w:eastAsia="宋体" w:hAnsi="Calibri" w:cs="Times New Roman" w:hint="eastAsia"/>
        </w:rPr>
        <w:t>全国层面与省域层面</w:t>
      </w:r>
      <w:r w:rsidR="00875F1F">
        <w:rPr>
          <w:rFonts w:eastAsia="宋体" w:hAnsi="Calibri" w:cs="Times New Roman" w:hint="eastAsia"/>
        </w:rPr>
        <w:t>的研究</w:t>
      </w:r>
      <w:r w:rsidR="009C392B">
        <w:rPr>
          <w:rFonts w:eastAsia="宋体" w:hAnsi="Calibri" w:cs="Times New Roman" w:hint="eastAsia"/>
        </w:rPr>
        <w:t>。具体来说，在入境旅游空间结构方面，</w:t>
      </w:r>
      <w:r w:rsidR="00B07569">
        <w:rPr>
          <w:rFonts w:eastAsia="宋体" w:hAnsi="Calibri" w:cs="Times New Roman" w:hint="eastAsia"/>
        </w:rPr>
        <w:t>孙根年</w:t>
      </w:r>
      <w:r w:rsidR="00B07569" w:rsidRPr="00D16B31">
        <w:rPr>
          <w:rFonts w:ascii="Times New Roman" w:eastAsia="宋体" w:hAnsi="Calibri" w:cs="Times New Roman"/>
        </w:rPr>
        <w:t>（</w:t>
      </w:r>
      <w:r w:rsidR="00B07569" w:rsidRPr="00D16B31">
        <w:rPr>
          <w:rFonts w:ascii="Times New Roman" w:eastAsia="宋体" w:hAnsi="Times New Roman" w:cs="Times New Roman"/>
        </w:rPr>
        <w:t>2008</w:t>
      </w:r>
      <w:r w:rsidR="00B07569" w:rsidRPr="00D16B31">
        <w:rPr>
          <w:rFonts w:ascii="Times New Roman" w:eastAsia="宋体" w:hAnsi="Calibri" w:cs="Times New Roman"/>
        </w:rPr>
        <w:t>）</w:t>
      </w:r>
      <w:r w:rsidR="00BD4235" w:rsidRPr="00D16B31">
        <w:rPr>
          <w:rFonts w:ascii="Times New Roman" w:eastAsia="宋体" w:hAnsi="Calibri" w:cs="Times New Roman"/>
        </w:rPr>
        <w:t>运用重力模型对我国</w:t>
      </w:r>
      <w:r w:rsidR="00BD4235" w:rsidRPr="00D16B31">
        <w:rPr>
          <w:rFonts w:ascii="Times New Roman" w:eastAsia="宋体" w:hAnsi="Times New Roman" w:cs="Times New Roman"/>
        </w:rPr>
        <w:t>1990-2006</w:t>
      </w:r>
      <w:r w:rsidR="00BD4235">
        <w:rPr>
          <w:rFonts w:eastAsia="宋体" w:hAnsi="Calibri" w:cs="Times New Roman" w:hint="eastAsia"/>
        </w:rPr>
        <w:t>年的入境旅游地域结构的演变进行研究</w:t>
      </w:r>
      <w:r w:rsidR="00BD4235">
        <w:rPr>
          <w:rStyle w:val="a8"/>
          <w:rFonts w:eastAsia="宋体" w:hAnsi="Calibri" w:cs="Times New Roman"/>
        </w:rPr>
        <w:endnoteReference w:customMarkFollows="1" w:id="2"/>
        <w:t>[</w:t>
      </w:r>
      <w:r w:rsidR="00C16F6E">
        <w:rPr>
          <w:rStyle w:val="a8"/>
          <w:rFonts w:eastAsia="宋体" w:hAnsi="Calibri" w:cs="Times New Roman" w:hint="eastAsia"/>
        </w:rPr>
        <w:t>2</w:t>
      </w:r>
      <w:r w:rsidR="00BD4235">
        <w:rPr>
          <w:rStyle w:val="a8"/>
          <w:rFonts w:eastAsia="宋体" w:hAnsi="Calibri" w:cs="Times New Roman"/>
        </w:rPr>
        <w:t>]</w:t>
      </w:r>
      <w:r w:rsidR="00BD4235">
        <w:rPr>
          <w:rFonts w:eastAsia="宋体" w:hAnsi="Calibri" w:cs="Times New Roman" w:hint="eastAsia"/>
        </w:rPr>
        <w:t>，何俊阳</w:t>
      </w:r>
      <w:r w:rsidR="00BD4235" w:rsidRPr="00D16B31">
        <w:rPr>
          <w:rFonts w:ascii="Times New Roman" w:eastAsia="宋体" w:hAnsi="Calibri" w:cs="Times New Roman"/>
        </w:rPr>
        <w:t>（</w:t>
      </w:r>
      <w:r w:rsidR="00BD4235" w:rsidRPr="00D16B31">
        <w:rPr>
          <w:rFonts w:ascii="Times New Roman" w:eastAsia="宋体" w:hAnsi="Times New Roman" w:cs="Times New Roman"/>
        </w:rPr>
        <w:t>2016</w:t>
      </w:r>
      <w:r w:rsidR="00BD4235" w:rsidRPr="00D16B31">
        <w:rPr>
          <w:rFonts w:ascii="Times New Roman" w:eastAsia="宋体" w:hAnsi="Calibri" w:cs="Times New Roman"/>
        </w:rPr>
        <w:t>）利用超效率</w:t>
      </w:r>
      <w:r w:rsidR="00BD4235" w:rsidRPr="00D16B31">
        <w:rPr>
          <w:rFonts w:ascii="Times New Roman" w:eastAsia="宋体" w:hAnsi="Times New Roman" w:cs="Times New Roman"/>
        </w:rPr>
        <w:t>DEA</w:t>
      </w:r>
      <w:r w:rsidR="00BD4235" w:rsidRPr="00D16B31">
        <w:rPr>
          <w:rFonts w:ascii="Times New Roman" w:eastAsia="宋体" w:hAnsi="Calibri" w:cs="Times New Roman"/>
        </w:rPr>
        <w:t>方法测度了</w:t>
      </w:r>
      <w:r w:rsidR="00BD4235" w:rsidRPr="00D16B31">
        <w:rPr>
          <w:rFonts w:ascii="Times New Roman" w:eastAsia="宋体" w:hAnsi="Times New Roman" w:cs="Times New Roman"/>
        </w:rPr>
        <w:t>2005-2014</w:t>
      </w:r>
      <w:r w:rsidR="00BD4235" w:rsidRPr="00D16B31">
        <w:rPr>
          <w:rFonts w:ascii="Times New Roman" w:eastAsia="宋体" w:hAnsi="Calibri" w:cs="Times New Roman"/>
        </w:rPr>
        <w:t>年间泛珠三角区域不同</w:t>
      </w:r>
      <w:r w:rsidRPr="00D16B31">
        <w:rPr>
          <w:rFonts w:ascii="Times New Roman" w:eastAsia="宋体" w:hAnsi="Calibri" w:cs="Times New Roman"/>
        </w:rPr>
        <w:t>区域</w:t>
      </w:r>
      <w:r w:rsidR="00BD4235" w:rsidRPr="00D16B31">
        <w:rPr>
          <w:rFonts w:ascii="Times New Roman" w:eastAsia="宋体" w:hAnsi="Calibri" w:cs="Times New Roman"/>
        </w:rPr>
        <w:t>的入境旅游发展效率，并借助波士顿矩阵分</w:t>
      </w:r>
      <w:r w:rsidR="00BD4235">
        <w:rPr>
          <w:rFonts w:eastAsia="宋体" w:hAnsi="Calibri" w:cs="Times New Roman" w:hint="eastAsia"/>
        </w:rPr>
        <w:t>析了该区</w:t>
      </w:r>
      <w:r w:rsidR="00BD4235">
        <w:rPr>
          <w:rFonts w:eastAsia="宋体" w:hAnsi="Calibri" w:cs="Times New Roman" w:hint="eastAsia"/>
        </w:rPr>
        <w:lastRenderedPageBreak/>
        <w:t>域内部的市场竞争态势</w:t>
      </w:r>
      <w:r w:rsidR="00BD4235">
        <w:rPr>
          <w:rStyle w:val="a8"/>
          <w:rFonts w:eastAsia="宋体" w:hAnsi="Calibri" w:cs="Times New Roman"/>
        </w:rPr>
        <w:endnoteReference w:customMarkFollows="1" w:id="3"/>
        <w:t>[</w:t>
      </w:r>
      <w:r w:rsidR="00C16F6E">
        <w:rPr>
          <w:rStyle w:val="a8"/>
          <w:rFonts w:eastAsia="宋体" w:hAnsi="Calibri" w:cs="Times New Roman" w:hint="eastAsia"/>
        </w:rPr>
        <w:t>3</w:t>
      </w:r>
      <w:r w:rsidR="00BD4235">
        <w:rPr>
          <w:rStyle w:val="a8"/>
          <w:rFonts w:eastAsia="宋体" w:hAnsi="Calibri" w:cs="Times New Roman"/>
        </w:rPr>
        <w:t>]</w:t>
      </w:r>
      <w:r w:rsidR="00BD4235">
        <w:rPr>
          <w:rFonts w:eastAsia="宋体" w:hAnsi="Calibri" w:cs="Times New Roman" w:hint="eastAsia"/>
        </w:rPr>
        <w:t>；在入境旅游客流流向方面，刘宏盈</w:t>
      </w:r>
      <w:r w:rsidR="00BD4235" w:rsidRPr="00D16B31">
        <w:rPr>
          <w:rFonts w:ascii="Times New Roman" w:eastAsia="宋体" w:hAnsi="Calibri" w:cs="Times New Roman"/>
        </w:rPr>
        <w:t>（</w:t>
      </w:r>
      <w:r w:rsidR="00BD4235" w:rsidRPr="00D16B31">
        <w:rPr>
          <w:rFonts w:ascii="Times New Roman" w:eastAsia="宋体" w:hAnsi="Times New Roman" w:cs="Times New Roman"/>
        </w:rPr>
        <w:t>2012</w:t>
      </w:r>
      <w:r w:rsidR="00BD4235" w:rsidRPr="00D16B31">
        <w:rPr>
          <w:rFonts w:ascii="Times New Roman" w:eastAsia="宋体" w:hAnsi="Calibri" w:cs="Times New Roman"/>
        </w:rPr>
        <w:t>）</w:t>
      </w:r>
      <w:r w:rsidR="007F40B5">
        <w:rPr>
          <w:rFonts w:eastAsia="宋体" w:hAnsi="Calibri" w:cs="Times New Roman" w:hint="eastAsia"/>
        </w:rPr>
        <w:t>通过构建广东</w:t>
      </w:r>
      <w:r w:rsidR="00AA3755">
        <w:rPr>
          <w:rFonts w:eastAsia="宋体" w:hAnsi="Calibri" w:cs="Times New Roman" w:hint="eastAsia"/>
        </w:rPr>
        <w:t>入境旅游流的西向扩散转移态指数对入境旅游扩散的时空分布特征进行了分析</w:t>
      </w:r>
      <w:r w:rsidR="00AA3755">
        <w:rPr>
          <w:rStyle w:val="a8"/>
          <w:rFonts w:eastAsia="宋体" w:hAnsi="Calibri" w:cs="Times New Roman"/>
        </w:rPr>
        <w:endnoteReference w:customMarkFollows="1" w:id="4"/>
        <w:t>[</w:t>
      </w:r>
      <w:r w:rsidR="00C16F6E">
        <w:rPr>
          <w:rStyle w:val="a8"/>
          <w:rFonts w:eastAsia="宋体" w:hAnsi="Calibri" w:cs="Times New Roman" w:hint="eastAsia"/>
        </w:rPr>
        <w:t>4</w:t>
      </w:r>
      <w:r w:rsidR="00AA3755">
        <w:rPr>
          <w:rStyle w:val="a8"/>
          <w:rFonts w:eastAsia="宋体" w:hAnsi="Calibri" w:cs="Times New Roman"/>
        </w:rPr>
        <w:t>]</w:t>
      </w:r>
      <w:r w:rsidR="00AA3755">
        <w:rPr>
          <w:rFonts w:eastAsia="宋体" w:hAnsi="Calibri" w:cs="Times New Roman" w:hint="eastAsia"/>
        </w:rPr>
        <w:t>，冯娜提出了外向在线旅游信息流概念并测度出了中国城市的外向在线信息流指数</w:t>
      </w:r>
      <w:r w:rsidR="00AA3755">
        <w:rPr>
          <w:rStyle w:val="a8"/>
          <w:rFonts w:eastAsia="宋体" w:hAnsi="Calibri" w:cs="Times New Roman"/>
        </w:rPr>
        <w:endnoteReference w:customMarkFollows="1" w:id="5"/>
        <w:t>[</w:t>
      </w:r>
      <w:r w:rsidR="00C16F6E">
        <w:rPr>
          <w:rStyle w:val="a8"/>
          <w:rFonts w:eastAsia="宋体" w:hAnsi="Calibri" w:cs="Times New Roman" w:hint="eastAsia"/>
        </w:rPr>
        <w:t>5</w:t>
      </w:r>
      <w:r w:rsidR="00AA3755">
        <w:rPr>
          <w:rStyle w:val="a8"/>
          <w:rFonts w:eastAsia="宋体" w:hAnsi="Calibri" w:cs="Times New Roman"/>
        </w:rPr>
        <w:t>]</w:t>
      </w:r>
      <w:r w:rsidR="00AA3755">
        <w:rPr>
          <w:rFonts w:eastAsia="宋体" w:hAnsi="Calibri" w:cs="Times New Roman" w:hint="eastAsia"/>
        </w:rPr>
        <w:t>；</w:t>
      </w:r>
      <w:r w:rsidR="006C164B">
        <w:rPr>
          <w:rFonts w:eastAsia="宋体" w:hAnsi="Calibri" w:cs="Times New Roman" w:hint="eastAsia"/>
        </w:rPr>
        <w:t>在入境旅游客源市场结构方面，韩立</w:t>
      </w:r>
      <w:r w:rsidR="006C164B" w:rsidRPr="004B0305">
        <w:rPr>
          <w:rFonts w:ascii="Times New Roman" w:eastAsia="宋体" w:hAnsi="Calibri" w:cs="Times New Roman"/>
        </w:rPr>
        <w:t>宁（</w:t>
      </w:r>
      <w:r w:rsidR="006C164B" w:rsidRPr="004B0305">
        <w:rPr>
          <w:rFonts w:ascii="Times New Roman" w:eastAsia="宋体" w:hAnsi="Times New Roman" w:cs="Times New Roman"/>
        </w:rPr>
        <w:t>2013</w:t>
      </w:r>
      <w:r w:rsidR="006C164B" w:rsidRPr="004B0305">
        <w:rPr>
          <w:rFonts w:ascii="Times New Roman" w:eastAsia="宋体" w:hAnsi="Calibri" w:cs="Times New Roman"/>
        </w:rPr>
        <w:t>）</w:t>
      </w:r>
      <w:r w:rsidR="006C164B">
        <w:rPr>
          <w:rFonts w:eastAsia="宋体" w:hAnsi="Calibri" w:cs="Times New Roman" w:hint="eastAsia"/>
        </w:rPr>
        <w:t>运用市场竞争态理论分析了</w:t>
      </w:r>
      <w:r w:rsidR="006C164B" w:rsidRPr="004B0305">
        <w:rPr>
          <w:rFonts w:ascii="Times New Roman" w:eastAsia="宋体" w:hAnsi="Times New Roman" w:cs="Times New Roman"/>
        </w:rPr>
        <w:t>1995-2010</w:t>
      </w:r>
      <w:r w:rsidR="006C164B" w:rsidRPr="004B0305">
        <w:rPr>
          <w:rFonts w:ascii="Times New Roman" w:eastAsia="宋体" w:hAnsi="Calibri" w:cs="Times New Roman"/>
        </w:rPr>
        <w:t>年我国</w:t>
      </w:r>
      <w:r w:rsidR="006C164B" w:rsidRPr="004B0305">
        <w:rPr>
          <w:rFonts w:ascii="Times New Roman" w:eastAsia="宋体" w:hAnsi="Times New Roman" w:cs="Times New Roman"/>
        </w:rPr>
        <w:t>23</w:t>
      </w:r>
      <w:r w:rsidR="006C164B" w:rsidRPr="004B0305">
        <w:rPr>
          <w:rFonts w:ascii="Times New Roman" w:eastAsia="宋体" w:hAnsi="Calibri" w:cs="Times New Roman"/>
        </w:rPr>
        <w:t>个</w:t>
      </w:r>
      <w:r w:rsidR="006C164B">
        <w:rPr>
          <w:rFonts w:eastAsia="宋体" w:hAnsi="Calibri" w:cs="Times New Roman" w:hint="eastAsia"/>
        </w:rPr>
        <w:t>入境旅游客源国结构的变化规律与变化趋势</w:t>
      </w:r>
      <w:r w:rsidR="009B3466">
        <w:rPr>
          <w:rStyle w:val="a8"/>
          <w:rFonts w:eastAsia="宋体" w:hAnsi="Calibri" w:cs="Times New Roman"/>
        </w:rPr>
        <w:endnoteReference w:customMarkFollows="1" w:id="6"/>
        <w:t>[</w:t>
      </w:r>
      <w:r w:rsidR="00C16F6E">
        <w:rPr>
          <w:rStyle w:val="a8"/>
          <w:rFonts w:eastAsia="宋体" w:hAnsi="Calibri" w:cs="Times New Roman" w:hint="eastAsia"/>
        </w:rPr>
        <w:t>6</w:t>
      </w:r>
      <w:r w:rsidR="009B3466">
        <w:rPr>
          <w:rStyle w:val="a8"/>
          <w:rFonts w:eastAsia="宋体" w:hAnsi="Calibri" w:cs="Times New Roman"/>
        </w:rPr>
        <w:t>]</w:t>
      </w:r>
      <w:r w:rsidR="00D10474">
        <w:rPr>
          <w:rFonts w:eastAsia="宋体" w:hAnsi="Calibri" w:cs="Times New Roman" w:hint="eastAsia"/>
        </w:rPr>
        <w:t>，</w:t>
      </w:r>
      <w:r w:rsidR="007C21EF">
        <w:rPr>
          <w:rFonts w:eastAsia="宋体" w:hAnsi="Calibri" w:cs="Times New Roman" w:hint="eastAsia"/>
        </w:rPr>
        <w:t>全华</w:t>
      </w:r>
      <w:r w:rsidR="007C21EF" w:rsidRPr="004B0305">
        <w:rPr>
          <w:rFonts w:ascii="Times New Roman" w:eastAsia="宋体" w:hAnsi="Calibri" w:cs="Times New Roman"/>
        </w:rPr>
        <w:t>（</w:t>
      </w:r>
      <w:r w:rsidR="007C21EF" w:rsidRPr="004B0305">
        <w:rPr>
          <w:rFonts w:ascii="Times New Roman" w:eastAsia="宋体" w:hAnsi="Times New Roman" w:cs="Times New Roman"/>
        </w:rPr>
        <w:t>2012</w:t>
      </w:r>
      <w:r w:rsidR="007C21EF" w:rsidRPr="004B0305">
        <w:rPr>
          <w:rFonts w:ascii="Times New Roman" w:eastAsia="宋体" w:hAnsi="Calibri" w:cs="Times New Roman"/>
        </w:rPr>
        <w:t>）运用偏额</w:t>
      </w:r>
      <w:r w:rsidR="007C21EF" w:rsidRPr="004B0305">
        <w:rPr>
          <w:rFonts w:ascii="Times New Roman" w:eastAsia="宋体" w:hAnsi="Times New Roman" w:cs="Times New Roman"/>
        </w:rPr>
        <w:t>——</w:t>
      </w:r>
      <w:r w:rsidR="007C21EF" w:rsidRPr="004B0305">
        <w:rPr>
          <w:rFonts w:ascii="Times New Roman" w:eastAsia="宋体" w:hAnsi="Calibri" w:cs="Times New Roman"/>
        </w:rPr>
        <w:t>份额分析法（</w:t>
      </w:r>
      <w:r w:rsidR="007C21EF" w:rsidRPr="004B0305">
        <w:rPr>
          <w:rFonts w:ascii="Times New Roman" w:eastAsia="宋体" w:hAnsi="Times New Roman" w:cs="Times New Roman"/>
        </w:rPr>
        <w:t>SSM</w:t>
      </w:r>
      <w:r w:rsidR="007C21EF" w:rsidRPr="004B0305">
        <w:rPr>
          <w:rFonts w:ascii="Times New Roman" w:eastAsia="宋体" w:hAnsi="Calibri" w:cs="Times New Roman"/>
        </w:rPr>
        <w:t>）对</w:t>
      </w:r>
      <w:r w:rsidR="007C21EF" w:rsidRPr="004B0305">
        <w:rPr>
          <w:rFonts w:ascii="Times New Roman" w:eastAsia="宋体" w:hAnsi="Times New Roman" w:cs="Times New Roman"/>
        </w:rPr>
        <w:t>2001-2009</w:t>
      </w:r>
      <w:r w:rsidR="007C21EF" w:rsidRPr="004B0305">
        <w:rPr>
          <w:rFonts w:ascii="Times New Roman" w:eastAsia="宋体" w:hAnsi="Calibri" w:cs="Times New Roman"/>
        </w:rPr>
        <w:t>年间江苏省入境旅游市场结构变化进行了</w:t>
      </w:r>
      <w:r w:rsidR="007C21EF">
        <w:rPr>
          <w:rFonts w:eastAsia="宋体" w:hAnsi="Calibri" w:cs="Times New Roman" w:hint="eastAsia"/>
        </w:rPr>
        <w:t>分析</w:t>
      </w:r>
      <w:r w:rsidR="007C21EF">
        <w:rPr>
          <w:rStyle w:val="a8"/>
          <w:rFonts w:eastAsia="宋体" w:hAnsi="Calibri" w:cs="Times New Roman"/>
        </w:rPr>
        <w:endnoteReference w:customMarkFollows="1" w:id="7"/>
        <w:t>[</w:t>
      </w:r>
      <w:r w:rsidR="00C16F6E">
        <w:rPr>
          <w:rStyle w:val="a8"/>
          <w:rFonts w:eastAsia="宋体" w:hAnsi="Calibri" w:cs="Times New Roman" w:hint="eastAsia"/>
        </w:rPr>
        <w:t>7</w:t>
      </w:r>
      <w:r w:rsidR="007C21EF">
        <w:rPr>
          <w:rStyle w:val="a8"/>
          <w:rFonts w:eastAsia="宋体" w:hAnsi="Calibri" w:cs="Times New Roman"/>
        </w:rPr>
        <w:t>]</w:t>
      </w:r>
      <w:r w:rsidR="007C21EF">
        <w:rPr>
          <w:rFonts w:eastAsia="宋体" w:hAnsi="Calibri" w:cs="Times New Roman" w:hint="eastAsia"/>
        </w:rPr>
        <w:t>；在入境旅游市场发展规律方面，张瑞英</w:t>
      </w:r>
      <w:r w:rsidR="00C07FDF" w:rsidRPr="004B0305">
        <w:rPr>
          <w:rFonts w:ascii="Times New Roman" w:eastAsia="宋体" w:hAnsi="Calibri" w:cs="Times New Roman"/>
        </w:rPr>
        <w:t>（</w:t>
      </w:r>
      <w:r w:rsidR="00C07FDF" w:rsidRPr="004B0305">
        <w:rPr>
          <w:rFonts w:ascii="Times New Roman" w:eastAsia="宋体" w:hAnsi="Times New Roman" w:cs="Times New Roman"/>
        </w:rPr>
        <w:t>2014</w:t>
      </w:r>
      <w:r w:rsidR="00C07FDF" w:rsidRPr="004B0305">
        <w:rPr>
          <w:rFonts w:ascii="Times New Roman" w:eastAsia="宋体" w:hAnsi="Calibri" w:cs="Times New Roman"/>
        </w:rPr>
        <w:t>）</w:t>
      </w:r>
      <w:r w:rsidR="00291C58" w:rsidRPr="004B0305">
        <w:rPr>
          <w:rFonts w:ascii="Times New Roman" w:eastAsia="宋体" w:hAnsi="Calibri" w:cs="Times New Roman"/>
        </w:rPr>
        <w:t>将我国</w:t>
      </w:r>
      <w:r w:rsidR="00291C58">
        <w:rPr>
          <w:rFonts w:eastAsia="宋体" w:hAnsi="Calibri" w:cs="Times New Roman" w:hint="eastAsia"/>
        </w:rPr>
        <w:t>分为八大旅游区域</w:t>
      </w:r>
      <w:r w:rsidR="00EA0936">
        <w:rPr>
          <w:rFonts w:eastAsia="宋体" w:hAnsi="Calibri" w:cs="Times New Roman" w:hint="eastAsia"/>
        </w:rPr>
        <w:t>并</w:t>
      </w:r>
      <w:r w:rsidR="00291C58">
        <w:rPr>
          <w:rFonts w:eastAsia="宋体" w:hAnsi="Calibri" w:cs="Times New Roman" w:hint="eastAsia"/>
        </w:rPr>
        <w:t>分析了不同区域的结构效应和空间效应，</w:t>
      </w:r>
      <w:r w:rsidR="002F75EF">
        <w:rPr>
          <w:rFonts w:eastAsia="宋体" w:hAnsi="Calibri" w:cs="Times New Roman" w:hint="eastAsia"/>
        </w:rPr>
        <w:t>得出了不同区域入境旅游变迁的内在规律</w:t>
      </w:r>
      <w:r w:rsidR="002F75EF">
        <w:rPr>
          <w:rStyle w:val="a8"/>
          <w:rFonts w:eastAsia="宋体" w:hAnsi="Calibri" w:cs="Times New Roman"/>
        </w:rPr>
        <w:endnoteReference w:customMarkFollows="1" w:id="8"/>
        <w:t>[</w:t>
      </w:r>
      <w:r w:rsidR="005B5DD9">
        <w:rPr>
          <w:rStyle w:val="a8"/>
          <w:rFonts w:eastAsia="宋体" w:hAnsi="Calibri" w:cs="Times New Roman" w:hint="eastAsia"/>
        </w:rPr>
        <w:t>8</w:t>
      </w:r>
      <w:r w:rsidR="002F75EF">
        <w:rPr>
          <w:rStyle w:val="a8"/>
          <w:rFonts w:eastAsia="宋体" w:hAnsi="Calibri" w:cs="Times New Roman"/>
        </w:rPr>
        <w:t>]</w:t>
      </w:r>
      <w:r w:rsidR="00C11EE5">
        <w:rPr>
          <w:rFonts w:eastAsia="宋体" w:hAnsi="Calibri" w:cs="Times New Roman" w:hint="eastAsia"/>
        </w:rPr>
        <w:t>；在旅游竞争力方面，赵书</w:t>
      </w:r>
      <w:r w:rsidR="00C11EE5" w:rsidRPr="004B0305">
        <w:rPr>
          <w:rFonts w:ascii="Times New Roman" w:eastAsia="宋体" w:hAnsi="Calibri" w:cs="Times New Roman"/>
        </w:rPr>
        <w:t>华（</w:t>
      </w:r>
      <w:r w:rsidR="00C11EE5" w:rsidRPr="004B0305">
        <w:rPr>
          <w:rFonts w:ascii="Times New Roman" w:eastAsia="宋体" w:hAnsi="Times New Roman" w:cs="Times New Roman"/>
        </w:rPr>
        <w:t>2005</w:t>
      </w:r>
      <w:r w:rsidR="00C11EE5" w:rsidRPr="004B0305">
        <w:rPr>
          <w:rFonts w:ascii="Times New Roman" w:eastAsia="宋体" w:hAnsi="Calibri" w:cs="Times New Roman"/>
        </w:rPr>
        <w:t>）</w:t>
      </w:r>
      <w:r w:rsidR="002E4449">
        <w:rPr>
          <w:rFonts w:eastAsia="宋体" w:hAnsi="Calibri" w:cs="Times New Roman" w:hint="eastAsia"/>
        </w:rPr>
        <w:t>运用国际竞争力测度指标对全球</w:t>
      </w:r>
      <w:r w:rsidR="002E4449">
        <w:rPr>
          <w:rFonts w:eastAsia="宋体" w:hAnsi="Calibri" w:cs="Times New Roman" w:hint="eastAsia"/>
        </w:rPr>
        <w:t>9</w:t>
      </w:r>
      <w:r w:rsidR="002E4449">
        <w:rPr>
          <w:rFonts w:eastAsia="宋体" w:hAnsi="Calibri" w:cs="Times New Roman" w:hint="eastAsia"/>
        </w:rPr>
        <w:t>大旅游服务贸易收入国家的旅游服务贸易竞争力进行研究</w:t>
      </w:r>
      <w:r w:rsidR="00680295">
        <w:rPr>
          <w:rStyle w:val="a8"/>
          <w:rFonts w:eastAsia="宋体" w:hAnsi="Calibri" w:cs="Times New Roman"/>
        </w:rPr>
        <w:endnoteReference w:customMarkFollows="1" w:id="9"/>
        <w:t>[</w:t>
      </w:r>
      <w:r w:rsidR="005B5DD9">
        <w:rPr>
          <w:rStyle w:val="a8"/>
          <w:rFonts w:eastAsia="宋体" w:hAnsi="Calibri" w:cs="Times New Roman" w:hint="eastAsia"/>
        </w:rPr>
        <w:t>9</w:t>
      </w:r>
      <w:r w:rsidR="00680295">
        <w:rPr>
          <w:rStyle w:val="a8"/>
          <w:rFonts w:eastAsia="宋体" w:hAnsi="Calibri" w:cs="Times New Roman"/>
        </w:rPr>
        <w:t>]</w:t>
      </w:r>
      <w:r w:rsidR="002E4449">
        <w:rPr>
          <w:rFonts w:eastAsia="宋体" w:hAnsi="Calibri" w:cs="Times New Roman" w:hint="eastAsia"/>
        </w:rPr>
        <w:t>，</w:t>
      </w:r>
      <w:r w:rsidR="00C5340F">
        <w:rPr>
          <w:rFonts w:eastAsia="宋体" w:hAnsi="Calibri" w:cs="Times New Roman" w:hint="eastAsia"/>
        </w:rPr>
        <w:t>冯学钢</w:t>
      </w:r>
      <w:r w:rsidR="00C5340F" w:rsidRPr="004B0305">
        <w:rPr>
          <w:rFonts w:ascii="Times New Roman" w:eastAsia="宋体" w:hAnsi="Calibri" w:cs="Times New Roman"/>
        </w:rPr>
        <w:t>（</w:t>
      </w:r>
      <w:r w:rsidR="00C5340F" w:rsidRPr="004B0305">
        <w:rPr>
          <w:rFonts w:ascii="Times New Roman" w:eastAsia="宋体" w:hAnsi="Times New Roman" w:cs="Times New Roman"/>
        </w:rPr>
        <w:t>2003</w:t>
      </w:r>
      <w:r w:rsidR="00C5340F" w:rsidRPr="004B0305">
        <w:rPr>
          <w:rFonts w:ascii="Times New Roman" w:eastAsia="宋体" w:hAnsi="Calibri" w:cs="Times New Roman"/>
        </w:rPr>
        <w:t>）运用德尔菲法</w:t>
      </w:r>
      <w:r w:rsidR="00924004" w:rsidRPr="004B0305">
        <w:rPr>
          <w:rFonts w:ascii="Times New Roman" w:eastAsia="宋体" w:hAnsi="Calibri" w:cs="Times New Roman"/>
        </w:rPr>
        <w:t>（</w:t>
      </w:r>
      <w:r w:rsidR="00924004" w:rsidRPr="004B0305">
        <w:rPr>
          <w:rFonts w:ascii="Times New Roman" w:hAnsi="Times New Roman" w:cs="Times New Roman"/>
          <w:color w:val="333333"/>
        </w:rPr>
        <w:t>Delphi method</w:t>
      </w:r>
      <w:r w:rsidR="00924004" w:rsidRPr="004B0305">
        <w:rPr>
          <w:rFonts w:ascii="Times New Roman" w:eastAsia="宋体" w:hAnsi="Calibri" w:cs="Times New Roman"/>
        </w:rPr>
        <w:t>）和层次分析法</w:t>
      </w:r>
      <w:r w:rsidR="00977C20" w:rsidRPr="004B0305">
        <w:rPr>
          <w:rFonts w:ascii="Times New Roman" w:eastAsia="宋体" w:hAnsi="Calibri" w:cs="Times New Roman"/>
        </w:rPr>
        <w:t>（</w:t>
      </w:r>
      <w:r w:rsidR="00977C20" w:rsidRPr="004B0305">
        <w:rPr>
          <w:rFonts w:ascii="Times New Roman" w:hAnsi="Times New Roman" w:cs="Times New Roman"/>
          <w:color w:val="333333"/>
        </w:rPr>
        <w:t>AHP</w:t>
      </w:r>
      <w:r w:rsidR="00977C20" w:rsidRPr="004B0305">
        <w:rPr>
          <w:rFonts w:ascii="Times New Roman" w:eastAsia="宋体" w:hAnsi="Calibri" w:cs="Times New Roman"/>
        </w:rPr>
        <w:t>）对我国旅游发展的竞</w:t>
      </w:r>
      <w:r w:rsidR="00977C20">
        <w:rPr>
          <w:rFonts w:eastAsia="宋体" w:hAnsi="Calibri" w:cs="Times New Roman" w:hint="eastAsia"/>
        </w:rPr>
        <w:t>争力进行了量化分析，并与世界入境旅游接待人数排名前</w:t>
      </w:r>
      <w:r w:rsidR="00977C20" w:rsidRPr="004B0305">
        <w:rPr>
          <w:rFonts w:ascii="Times New Roman" w:eastAsia="宋体" w:hAnsi="Times New Roman" w:cs="Times New Roman"/>
        </w:rPr>
        <w:t>10</w:t>
      </w:r>
      <w:r w:rsidR="00977C20" w:rsidRPr="004B0305">
        <w:rPr>
          <w:rFonts w:ascii="Times New Roman" w:eastAsia="宋体" w:hAnsi="Calibri" w:cs="Times New Roman"/>
        </w:rPr>
        <w:t>位（</w:t>
      </w:r>
      <w:r w:rsidR="00977C20" w:rsidRPr="004B0305">
        <w:rPr>
          <w:rFonts w:ascii="Times New Roman" w:eastAsia="宋体" w:hAnsi="Times New Roman" w:cs="Times New Roman"/>
        </w:rPr>
        <w:t>2001</w:t>
      </w:r>
      <w:r w:rsidR="00977C20" w:rsidRPr="004B0305">
        <w:rPr>
          <w:rFonts w:ascii="Times New Roman" w:eastAsia="宋体" w:hAnsi="Calibri" w:cs="Times New Roman"/>
        </w:rPr>
        <w:t>年</w:t>
      </w:r>
      <w:r w:rsidR="00977C20">
        <w:rPr>
          <w:rFonts w:eastAsia="宋体" w:hAnsi="Calibri" w:cs="Times New Roman" w:hint="eastAsia"/>
        </w:rPr>
        <w:t>）国家进行了比较</w:t>
      </w:r>
      <w:r w:rsidR="002D538D">
        <w:rPr>
          <w:rStyle w:val="a8"/>
          <w:rFonts w:eastAsia="宋体" w:hAnsi="Calibri" w:cs="Times New Roman"/>
        </w:rPr>
        <w:endnoteReference w:customMarkFollows="1" w:id="10"/>
        <w:t>[</w:t>
      </w:r>
      <w:r w:rsidR="005B5DD9">
        <w:rPr>
          <w:rStyle w:val="a8"/>
          <w:rFonts w:eastAsia="宋体" w:hAnsi="Calibri" w:cs="Times New Roman" w:hint="eastAsia"/>
        </w:rPr>
        <w:t>1</w:t>
      </w:r>
      <w:r w:rsidR="005B5DD9" w:rsidRPr="005B5DD9">
        <w:rPr>
          <w:rFonts w:eastAsia="宋体" w:hAnsi="Calibri" w:cs="Times New Roman" w:hint="eastAsia"/>
          <w:vertAlign w:val="superscript"/>
        </w:rPr>
        <w:t>0</w:t>
      </w:r>
      <w:r w:rsidR="002D538D">
        <w:rPr>
          <w:rStyle w:val="a8"/>
          <w:rFonts w:eastAsia="宋体" w:hAnsi="Calibri" w:cs="Times New Roman"/>
        </w:rPr>
        <w:t>]</w:t>
      </w:r>
      <w:r w:rsidR="00977C20">
        <w:rPr>
          <w:rFonts w:eastAsia="宋体" w:hAnsi="Calibri" w:cs="Times New Roman" w:hint="eastAsia"/>
        </w:rPr>
        <w:t>；</w:t>
      </w:r>
      <w:r w:rsidR="00680295" w:rsidRPr="00064A08">
        <w:rPr>
          <w:rFonts w:eastAsia="宋体" w:hAnsi="Calibri" w:cs="Times New Roman" w:hint="eastAsia"/>
        </w:rPr>
        <w:t>在入境旅游</w:t>
      </w:r>
      <w:r w:rsidR="00454010" w:rsidRPr="00064A08">
        <w:rPr>
          <w:rFonts w:eastAsia="宋体" w:hAnsi="Calibri" w:cs="Times New Roman" w:hint="eastAsia"/>
        </w:rPr>
        <w:t>危机</w:t>
      </w:r>
      <w:r w:rsidR="00680295" w:rsidRPr="00064A08">
        <w:rPr>
          <w:rFonts w:eastAsia="宋体" w:hAnsi="Calibri" w:cs="Times New Roman" w:hint="eastAsia"/>
        </w:rPr>
        <w:t>事件方面</w:t>
      </w:r>
      <w:r w:rsidR="00EC3F68" w:rsidRPr="00064A08">
        <w:rPr>
          <w:rFonts w:eastAsia="宋体" w:hAnsi="Calibri" w:cs="Times New Roman" w:hint="eastAsia"/>
        </w:rPr>
        <w:t>，于海波</w:t>
      </w:r>
      <w:r w:rsidR="00454010" w:rsidRPr="00064A08">
        <w:rPr>
          <w:rFonts w:ascii="仿宋" w:eastAsia="仿宋" w:hAnsi="仿宋" w:cs="Times New Roman" w:hint="eastAsia"/>
        </w:rPr>
        <w:t>（2015）</w:t>
      </w:r>
      <w:r w:rsidR="00454010" w:rsidRPr="00064A08">
        <w:rPr>
          <w:rFonts w:eastAsia="宋体" w:hAnsi="Calibri" w:cs="Times New Roman" w:hint="eastAsia"/>
        </w:rPr>
        <w:t>定量分析了雾霾对我国入境旅游的</w:t>
      </w:r>
      <w:r w:rsidR="0062377A" w:rsidRPr="00064A08">
        <w:rPr>
          <w:rFonts w:eastAsia="宋体" w:hAnsi="Calibri" w:cs="Times New Roman" w:hint="eastAsia"/>
        </w:rPr>
        <w:t>负面</w:t>
      </w:r>
      <w:r w:rsidR="00454010" w:rsidRPr="00064A08">
        <w:rPr>
          <w:rFonts w:eastAsia="宋体" w:hAnsi="Calibri" w:cs="Times New Roman" w:hint="eastAsia"/>
        </w:rPr>
        <w:t>影响</w:t>
      </w:r>
      <w:r w:rsidR="002029BC" w:rsidRPr="00064A08">
        <w:rPr>
          <w:rStyle w:val="a8"/>
          <w:rFonts w:eastAsia="宋体" w:hAnsi="Calibri" w:cs="Times New Roman"/>
        </w:rPr>
        <w:endnoteReference w:customMarkFollows="1" w:id="11"/>
        <w:t>[</w:t>
      </w:r>
      <w:r w:rsidR="005B5DD9" w:rsidRPr="00064A08">
        <w:rPr>
          <w:rStyle w:val="a8"/>
          <w:rFonts w:eastAsia="宋体" w:hAnsi="Calibri" w:cs="Times New Roman" w:hint="eastAsia"/>
        </w:rPr>
        <w:t>1</w:t>
      </w:r>
      <w:r w:rsidR="005B5DD9" w:rsidRPr="00064A08">
        <w:rPr>
          <w:rFonts w:eastAsia="宋体" w:hAnsi="Calibri" w:cs="Times New Roman" w:hint="eastAsia"/>
          <w:vertAlign w:val="superscript"/>
        </w:rPr>
        <w:t>1</w:t>
      </w:r>
      <w:r w:rsidR="002029BC" w:rsidRPr="00064A08">
        <w:rPr>
          <w:rStyle w:val="a8"/>
          <w:rFonts w:eastAsia="宋体" w:hAnsi="Calibri" w:cs="Times New Roman"/>
        </w:rPr>
        <w:t>]</w:t>
      </w:r>
      <w:r w:rsidR="00454010" w:rsidRPr="00064A08">
        <w:rPr>
          <w:rFonts w:eastAsia="宋体" w:hAnsi="Calibri" w:cs="Times New Roman" w:hint="eastAsia"/>
        </w:rPr>
        <w:t>，</w:t>
      </w:r>
      <w:r w:rsidR="00D47EFD" w:rsidRPr="00064A08">
        <w:rPr>
          <w:rFonts w:eastAsia="宋体" w:hAnsi="Calibri" w:cs="Times New Roman" w:hint="eastAsia"/>
        </w:rPr>
        <w:t>吴良平</w:t>
      </w:r>
      <w:r w:rsidR="00026F7B" w:rsidRPr="00064A08">
        <w:rPr>
          <w:rFonts w:eastAsia="宋体" w:hAnsi="Calibri" w:cs="Times New Roman" w:hint="eastAsia"/>
        </w:rPr>
        <w:t>基于</w:t>
      </w:r>
      <w:r w:rsidR="00026F7B" w:rsidRPr="00064A08">
        <w:rPr>
          <w:rFonts w:ascii="Times New Roman" w:eastAsia="宋体" w:hAnsi="Times New Roman" w:cs="Times New Roman"/>
        </w:rPr>
        <w:t>LOWA</w:t>
      </w:r>
      <w:r w:rsidR="00026F7B" w:rsidRPr="00064A08">
        <w:rPr>
          <w:rFonts w:eastAsia="宋体" w:hAnsi="Calibri" w:cs="Times New Roman" w:hint="eastAsia"/>
        </w:rPr>
        <w:t>算子组合预测模型定量分析了危机事件及政治变动对我</w:t>
      </w:r>
      <w:r w:rsidR="00026F7B" w:rsidRPr="00064A08">
        <w:rPr>
          <w:rFonts w:ascii="Times New Roman" w:eastAsia="宋体" w:hAnsi="Calibri" w:cs="Times New Roman"/>
        </w:rPr>
        <w:t>国入境旅游的影响程度和影响时滞</w:t>
      </w:r>
      <w:r w:rsidR="00026F7B" w:rsidRPr="00064A08">
        <w:rPr>
          <w:rStyle w:val="a8"/>
          <w:rFonts w:ascii="Times New Roman" w:eastAsia="宋体" w:hAnsi="Times New Roman" w:cs="Times New Roman"/>
        </w:rPr>
        <w:endnoteReference w:customMarkFollows="1" w:id="12"/>
        <w:t>[1</w:t>
      </w:r>
      <w:r w:rsidR="005B5DD9" w:rsidRPr="00064A08">
        <w:rPr>
          <w:rStyle w:val="a8"/>
          <w:rFonts w:ascii="Times New Roman" w:eastAsia="宋体" w:hAnsi="Times New Roman" w:cs="Times New Roman"/>
        </w:rPr>
        <w:t>2</w:t>
      </w:r>
      <w:r w:rsidR="00026F7B" w:rsidRPr="00064A08">
        <w:rPr>
          <w:rStyle w:val="a8"/>
          <w:rFonts w:ascii="Times New Roman" w:eastAsia="宋体" w:hAnsi="Times New Roman" w:cs="Times New Roman"/>
        </w:rPr>
        <w:t>]</w:t>
      </w:r>
      <w:r w:rsidR="00F7332F" w:rsidRPr="00064A08">
        <w:rPr>
          <w:rFonts w:ascii="Times New Roman" w:eastAsia="宋体" w:hAnsi="Calibri" w:cs="Times New Roman"/>
        </w:rPr>
        <w:t>；在入境旅游</w:t>
      </w:r>
      <w:r w:rsidR="00197F1F" w:rsidRPr="00064A08">
        <w:rPr>
          <w:rFonts w:ascii="Times New Roman" w:eastAsia="宋体" w:hAnsi="Calibri" w:cs="Times New Roman"/>
        </w:rPr>
        <w:t>与宏观及世界经济的关系研究方面，苏建军（</w:t>
      </w:r>
      <w:r w:rsidR="00197F1F" w:rsidRPr="00064A08">
        <w:rPr>
          <w:rFonts w:ascii="Times New Roman" w:eastAsia="宋体" w:hAnsi="Times New Roman" w:cs="Times New Roman"/>
        </w:rPr>
        <w:t>2013</w:t>
      </w:r>
      <w:r w:rsidR="00197F1F" w:rsidRPr="00064A08">
        <w:rPr>
          <w:rFonts w:ascii="Times New Roman" w:eastAsia="宋体" w:hAnsi="Calibri" w:cs="Times New Roman"/>
        </w:rPr>
        <w:t>）</w:t>
      </w:r>
      <w:r w:rsidR="006E54B3" w:rsidRPr="00064A08">
        <w:rPr>
          <w:rFonts w:ascii="Times New Roman" w:eastAsia="宋体" w:hAnsi="Calibri" w:cs="Times New Roman"/>
        </w:rPr>
        <w:t>利用</w:t>
      </w:r>
      <w:r w:rsidR="006E54B3" w:rsidRPr="004B0305">
        <w:rPr>
          <w:rFonts w:ascii="Times New Roman" w:eastAsia="宋体" w:hAnsi="Calibri" w:cs="Times New Roman"/>
        </w:rPr>
        <w:t>动摇面板回归模型，利用</w:t>
      </w:r>
      <w:r w:rsidR="006E54B3" w:rsidRPr="004B0305">
        <w:rPr>
          <w:rFonts w:ascii="Times New Roman" w:eastAsia="宋体" w:hAnsi="Times New Roman" w:cs="Times New Roman"/>
        </w:rPr>
        <w:t>1985-2009</w:t>
      </w:r>
      <w:r w:rsidR="006E54B3" w:rsidRPr="004B0305">
        <w:rPr>
          <w:rFonts w:ascii="Times New Roman" w:eastAsia="宋体" w:hAnsi="Calibri" w:cs="Times New Roman"/>
        </w:rPr>
        <w:t>年的时间序列数据分析了进出口贸易</w:t>
      </w:r>
      <w:r w:rsidR="006E54B3">
        <w:rPr>
          <w:rFonts w:eastAsia="宋体" w:hAnsi="Calibri" w:cs="Times New Roman" w:hint="eastAsia"/>
        </w:rPr>
        <w:t>对入境旅游的溢出效应</w:t>
      </w:r>
      <w:r w:rsidR="006E54B3">
        <w:rPr>
          <w:rStyle w:val="a8"/>
          <w:rFonts w:eastAsia="宋体" w:hAnsi="Calibri" w:cs="Times New Roman"/>
        </w:rPr>
        <w:endnoteReference w:customMarkFollows="1" w:id="13"/>
        <w:t>[1</w:t>
      </w:r>
      <w:r w:rsidR="005B5DD9">
        <w:rPr>
          <w:rStyle w:val="a8"/>
          <w:rFonts w:eastAsia="宋体" w:hAnsi="Calibri" w:cs="Times New Roman" w:hint="eastAsia"/>
        </w:rPr>
        <w:t>3</w:t>
      </w:r>
      <w:r w:rsidR="006E54B3">
        <w:rPr>
          <w:rStyle w:val="a8"/>
          <w:rFonts w:eastAsia="宋体" w:hAnsi="Calibri" w:cs="Times New Roman"/>
        </w:rPr>
        <w:t>]</w:t>
      </w:r>
      <w:r w:rsidR="006E3745">
        <w:rPr>
          <w:rFonts w:eastAsia="宋体" w:hAnsi="Calibri" w:cs="Times New Roman" w:hint="eastAsia"/>
        </w:rPr>
        <w:t>。</w:t>
      </w:r>
      <w:r w:rsidR="007B794F">
        <w:rPr>
          <w:rFonts w:eastAsia="宋体" w:hAnsi="Calibri" w:cs="Times New Roman" w:hint="eastAsia"/>
        </w:rPr>
        <w:t>但</w:t>
      </w:r>
      <w:r w:rsidR="00FE7F97">
        <w:rPr>
          <w:rFonts w:eastAsia="宋体" w:hAnsi="Calibri" w:cs="Times New Roman" w:hint="eastAsia"/>
        </w:rPr>
        <w:t>学术界</w:t>
      </w:r>
      <w:r w:rsidR="0062377A">
        <w:rPr>
          <w:rFonts w:eastAsia="宋体" w:hAnsi="Calibri" w:cs="Times New Roman" w:hint="eastAsia"/>
        </w:rPr>
        <w:t>对于我国</w:t>
      </w:r>
      <w:r w:rsidR="00B626A8">
        <w:rPr>
          <w:rFonts w:eastAsia="宋体" w:hAnsi="Calibri" w:cs="Times New Roman" w:hint="eastAsia"/>
        </w:rPr>
        <w:t>入境旅游的</w:t>
      </w:r>
      <w:r w:rsidR="00C77509">
        <w:rPr>
          <w:rFonts w:eastAsia="宋体" w:hAnsi="Calibri" w:cs="Times New Roman" w:hint="eastAsia"/>
        </w:rPr>
        <w:t>最为</w:t>
      </w:r>
      <w:r w:rsidR="00B626A8">
        <w:rPr>
          <w:rFonts w:eastAsia="宋体" w:hAnsi="Calibri" w:cs="Times New Roman" w:hint="eastAsia"/>
        </w:rPr>
        <w:t>重要的资源空间与产业空间——</w:t>
      </w:r>
      <w:r w:rsidR="005416DF">
        <w:rPr>
          <w:rFonts w:eastAsia="宋体" w:hAnsi="Calibri" w:cs="Times New Roman" w:hint="eastAsia"/>
        </w:rPr>
        <w:t>丝绸之路沿线</w:t>
      </w:r>
      <w:r w:rsidR="0062377A">
        <w:rPr>
          <w:rFonts w:eastAsia="宋体" w:hAnsi="Calibri" w:cs="Times New Roman" w:hint="eastAsia"/>
        </w:rPr>
        <w:t>西部</w:t>
      </w:r>
      <w:r w:rsidR="00FE7F97">
        <w:rPr>
          <w:rFonts w:eastAsia="宋体" w:hAnsi="Calibri" w:cs="Times New Roman" w:hint="eastAsia"/>
        </w:rPr>
        <w:t>地区的</w:t>
      </w:r>
      <w:r w:rsidR="0062377A">
        <w:rPr>
          <w:rFonts w:eastAsia="宋体" w:hAnsi="Calibri" w:cs="Times New Roman" w:hint="eastAsia"/>
        </w:rPr>
        <w:t>入境旅游研究则</w:t>
      </w:r>
      <w:r w:rsidR="004C3843">
        <w:rPr>
          <w:rFonts w:eastAsia="宋体" w:hAnsi="Calibri" w:cs="Times New Roman" w:hint="eastAsia"/>
        </w:rPr>
        <w:t>付之阙如，</w:t>
      </w:r>
      <w:r w:rsidR="00C25A20">
        <w:rPr>
          <w:rFonts w:eastAsia="宋体" w:hAnsi="Calibri" w:cs="Times New Roman" w:hint="eastAsia"/>
        </w:rPr>
        <w:t>且</w:t>
      </w:r>
      <w:r w:rsidR="00877B35">
        <w:rPr>
          <w:rFonts w:eastAsia="宋体" w:hAnsi="Calibri" w:cs="Times New Roman" w:hint="eastAsia"/>
        </w:rPr>
        <w:t>这些研究大多</w:t>
      </w:r>
      <w:r w:rsidR="00C25A20">
        <w:rPr>
          <w:rFonts w:eastAsia="宋体" w:hAnsi="Calibri" w:cs="Times New Roman" w:hint="eastAsia"/>
        </w:rPr>
        <w:t>聚焦于</w:t>
      </w:r>
      <w:r w:rsidR="00D22001">
        <w:rPr>
          <w:rFonts w:eastAsia="宋体" w:hAnsi="Calibri" w:cs="Times New Roman" w:hint="eastAsia"/>
        </w:rPr>
        <w:t>以地理学</w:t>
      </w:r>
      <w:r w:rsidR="00C25A20">
        <w:rPr>
          <w:rFonts w:eastAsia="宋体" w:hAnsi="Calibri" w:cs="Times New Roman" w:hint="eastAsia"/>
        </w:rPr>
        <w:t>研究</w:t>
      </w:r>
      <w:r w:rsidR="00877B35">
        <w:rPr>
          <w:rFonts w:eastAsia="宋体" w:hAnsi="Calibri" w:cs="Times New Roman" w:hint="eastAsia"/>
        </w:rPr>
        <w:t>，如</w:t>
      </w:r>
      <w:r w:rsidR="007943E9">
        <w:rPr>
          <w:rFonts w:eastAsia="宋体" w:hAnsi="Calibri" w:cs="Times New Roman" w:hint="eastAsia"/>
        </w:rPr>
        <w:t>基于</w:t>
      </w:r>
      <w:r w:rsidR="007943E9" w:rsidRPr="004B0305">
        <w:rPr>
          <w:rFonts w:ascii="Times New Roman" w:eastAsia="宋体" w:hAnsi="Times New Roman" w:cs="Times New Roman"/>
        </w:rPr>
        <w:t>1994-2008</w:t>
      </w:r>
      <w:r w:rsidR="007943E9" w:rsidRPr="004B0305">
        <w:rPr>
          <w:rFonts w:ascii="Times New Roman" w:eastAsia="宋体" w:hAnsi="Calibri" w:cs="Times New Roman"/>
        </w:rPr>
        <w:t>年我国西部陕西、四川、云南的统计数据和抽样调查数据</w:t>
      </w:r>
      <w:r w:rsidR="005A1A9C" w:rsidRPr="004B0305">
        <w:rPr>
          <w:rFonts w:ascii="Times New Roman" w:eastAsia="宋体" w:hAnsi="Calibri" w:cs="Times New Roman"/>
        </w:rPr>
        <w:t>对我国西部入境旅游客流的</w:t>
      </w:r>
      <w:r w:rsidR="005A1A9C">
        <w:rPr>
          <w:rFonts w:eastAsia="宋体" w:hAnsi="Calibri" w:cs="Times New Roman" w:hint="eastAsia"/>
        </w:rPr>
        <w:t>集散时空</w:t>
      </w:r>
      <w:r w:rsidR="00531013">
        <w:rPr>
          <w:rFonts w:eastAsia="宋体" w:hAnsi="Calibri" w:cs="Times New Roman" w:hint="eastAsia"/>
        </w:rPr>
        <w:t>动态规律的研究</w:t>
      </w:r>
      <w:r w:rsidR="00531013">
        <w:rPr>
          <w:rStyle w:val="a8"/>
          <w:rFonts w:eastAsia="宋体" w:hAnsi="Calibri" w:cs="Times New Roman"/>
        </w:rPr>
        <w:endnoteReference w:customMarkFollows="1" w:id="14"/>
        <w:t>[1</w:t>
      </w:r>
      <w:r w:rsidR="005B5DD9">
        <w:rPr>
          <w:rStyle w:val="a8"/>
          <w:rFonts w:eastAsia="宋体" w:hAnsi="Calibri" w:cs="Times New Roman" w:hint="eastAsia"/>
        </w:rPr>
        <w:t>4</w:t>
      </w:r>
      <w:r w:rsidR="00531013">
        <w:rPr>
          <w:rStyle w:val="a8"/>
          <w:rFonts w:eastAsia="宋体" w:hAnsi="Calibri" w:cs="Times New Roman"/>
        </w:rPr>
        <w:t>]</w:t>
      </w:r>
      <w:r w:rsidR="006309A2">
        <w:rPr>
          <w:rFonts w:eastAsia="宋体" w:hAnsi="Calibri" w:cs="Times New Roman" w:hint="eastAsia"/>
        </w:rPr>
        <w:t>，</w:t>
      </w:r>
      <w:r w:rsidR="00424F02">
        <w:rPr>
          <w:rFonts w:eastAsia="宋体" w:hAnsi="Calibri" w:cs="Times New Roman" w:hint="eastAsia"/>
        </w:rPr>
        <w:t>对</w:t>
      </w:r>
      <w:r w:rsidR="006309A2" w:rsidRPr="004B0305">
        <w:rPr>
          <w:rFonts w:ascii="Times New Roman" w:eastAsia="宋体" w:hAnsi="Times New Roman" w:cs="Times New Roman"/>
        </w:rPr>
        <w:t>2000</w:t>
      </w:r>
      <w:r w:rsidR="006309A2" w:rsidRPr="004B0305">
        <w:rPr>
          <w:rFonts w:ascii="Times New Roman" w:eastAsia="宋体" w:hAnsi="Calibri" w:cs="Times New Roman"/>
        </w:rPr>
        <w:t>、</w:t>
      </w:r>
      <w:r w:rsidR="006309A2" w:rsidRPr="004B0305">
        <w:rPr>
          <w:rFonts w:ascii="Times New Roman" w:eastAsia="宋体" w:hAnsi="Times New Roman" w:cs="Times New Roman"/>
        </w:rPr>
        <w:t>2005</w:t>
      </w:r>
      <w:r w:rsidR="006309A2" w:rsidRPr="004B0305">
        <w:rPr>
          <w:rFonts w:ascii="Times New Roman" w:eastAsia="宋体" w:hAnsi="Calibri" w:cs="Times New Roman"/>
        </w:rPr>
        <w:t>和</w:t>
      </w:r>
      <w:r w:rsidR="006309A2" w:rsidRPr="004B0305">
        <w:rPr>
          <w:rFonts w:ascii="Times New Roman" w:eastAsia="宋体" w:hAnsi="Times New Roman" w:cs="Times New Roman"/>
        </w:rPr>
        <w:t>2010</w:t>
      </w:r>
      <w:r w:rsidR="006309A2" w:rsidRPr="004B0305">
        <w:rPr>
          <w:rFonts w:ascii="Times New Roman" w:eastAsia="宋体" w:hAnsi="Calibri" w:cs="Times New Roman"/>
        </w:rPr>
        <w:t>年西部</w:t>
      </w:r>
      <w:r w:rsidR="006309A2" w:rsidRPr="004B0305">
        <w:rPr>
          <w:rFonts w:ascii="Times New Roman" w:eastAsia="宋体" w:hAnsi="Times New Roman" w:cs="Times New Roman"/>
        </w:rPr>
        <w:t>12</w:t>
      </w:r>
      <w:r w:rsidR="006309A2" w:rsidRPr="004B0305">
        <w:rPr>
          <w:rFonts w:ascii="Times New Roman" w:eastAsia="宋体" w:hAnsi="Calibri" w:cs="Times New Roman"/>
        </w:rPr>
        <w:t>省（区）</w:t>
      </w:r>
      <w:r w:rsidR="00424F02" w:rsidRPr="004B0305">
        <w:rPr>
          <w:rFonts w:ascii="Times New Roman" w:eastAsia="宋体" w:hAnsi="Calibri" w:cs="Times New Roman"/>
        </w:rPr>
        <w:t>低于耦合系统协调度及时空</w:t>
      </w:r>
      <w:r w:rsidR="00424F02">
        <w:rPr>
          <w:rFonts w:eastAsia="宋体" w:hAnsi="Calibri" w:cs="Times New Roman" w:hint="eastAsia"/>
        </w:rPr>
        <w:t>分异的研究</w:t>
      </w:r>
      <w:r w:rsidR="00424F02">
        <w:rPr>
          <w:rStyle w:val="a8"/>
          <w:rFonts w:eastAsia="宋体" w:hAnsi="Calibri" w:cs="Times New Roman"/>
        </w:rPr>
        <w:endnoteReference w:customMarkFollows="1" w:id="15"/>
        <w:t>[1</w:t>
      </w:r>
      <w:r w:rsidR="005B5DD9">
        <w:rPr>
          <w:rStyle w:val="a8"/>
          <w:rFonts w:eastAsia="宋体" w:hAnsi="Calibri" w:cs="Times New Roman" w:hint="eastAsia"/>
        </w:rPr>
        <w:t>5</w:t>
      </w:r>
      <w:r w:rsidR="00424F02">
        <w:rPr>
          <w:rStyle w:val="a8"/>
          <w:rFonts w:eastAsia="宋体" w:hAnsi="Calibri" w:cs="Times New Roman"/>
        </w:rPr>
        <w:t>]</w:t>
      </w:r>
      <w:r w:rsidR="00424F02">
        <w:rPr>
          <w:rFonts w:eastAsia="宋体" w:hAnsi="Calibri" w:cs="Times New Roman" w:hint="eastAsia"/>
        </w:rPr>
        <w:t>，</w:t>
      </w:r>
      <w:r w:rsidR="007364AB">
        <w:rPr>
          <w:rFonts w:eastAsia="宋体" w:hAnsi="Calibri" w:cs="Times New Roman" w:hint="eastAsia"/>
        </w:rPr>
        <w:t>基于旅游流转移的中国西部省区入境旅游时空动态的分析</w:t>
      </w:r>
      <w:r w:rsidR="007364AB">
        <w:rPr>
          <w:rStyle w:val="a8"/>
          <w:rFonts w:eastAsia="宋体" w:hAnsi="Calibri" w:cs="Times New Roman"/>
        </w:rPr>
        <w:endnoteReference w:customMarkFollows="1" w:id="16"/>
        <w:t>[1</w:t>
      </w:r>
      <w:r w:rsidR="005B5DD9">
        <w:rPr>
          <w:rStyle w:val="a8"/>
          <w:rFonts w:eastAsia="宋体" w:hAnsi="Calibri" w:cs="Times New Roman" w:hint="eastAsia"/>
        </w:rPr>
        <w:t>6</w:t>
      </w:r>
      <w:r w:rsidR="007364AB">
        <w:rPr>
          <w:rStyle w:val="a8"/>
          <w:rFonts w:eastAsia="宋体" w:hAnsi="Calibri" w:cs="Times New Roman"/>
        </w:rPr>
        <w:t>]</w:t>
      </w:r>
      <w:r w:rsidR="007364AB">
        <w:rPr>
          <w:rFonts w:eastAsia="宋体" w:hAnsi="Calibri" w:cs="Times New Roman" w:hint="eastAsia"/>
        </w:rPr>
        <w:t>等</w:t>
      </w:r>
      <w:r w:rsidR="00E638A6">
        <w:rPr>
          <w:rFonts w:eastAsia="宋体" w:hAnsi="Calibri" w:cs="Times New Roman" w:hint="eastAsia"/>
        </w:rPr>
        <w:t>。</w:t>
      </w:r>
    </w:p>
    <w:p w:rsidR="00262E83" w:rsidRPr="00262E83" w:rsidRDefault="00262E83" w:rsidP="00262E83">
      <w:pPr>
        <w:spacing w:line="360" w:lineRule="auto"/>
        <w:ind w:firstLineChars="200" w:firstLine="420"/>
      </w:pPr>
      <w:r>
        <w:rPr>
          <w:rFonts w:hint="eastAsia"/>
        </w:rPr>
        <w:t>综上所述，应该说，对我国</w:t>
      </w:r>
      <w:r w:rsidR="00DA1CF7">
        <w:rPr>
          <w:rFonts w:hint="eastAsia"/>
        </w:rPr>
        <w:t>入境</w:t>
      </w:r>
      <w:r>
        <w:rPr>
          <w:rFonts w:hint="eastAsia"/>
        </w:rPr>
        <w:t>旅游的研究也是服务贸易研究的重要方向，近几年来，研究主要还是聚焦于广义</w:t>
      </w:r>
      <w:r w:rsidR="00DA1CF7">
        <w:rPr>
          <w:rFonts w:hint="eastAsia"/>
        </w:rPr>
        <w:t>入境</w:t>
      </w:r>
      <w:r>
        <w:rPr>
          <w:rFonts w:hint="eastAsia"/>
        </w:rPr>
        <w:t>旅游研究以及对经济增长的贡献度等宏观领域，也获得了一大批富有成效的研究成果。但是，当下必须高度关注到“一带一路”倡议对我国</w:t>
      </w:r>
      <w:r w:rsidR="00DA1CF7">
        <w:rPr>
          <w:rFonts w:hint="eastAsia"/>
        </w:rPr>
        <w:t>入境</w:t>
      </w:r>
      <w:r>
        <w:rPr>
          <w:rFonts w:hint="eastAsia"/>
        </w:rPr>
        <w:t>旅游的影响和</w:t>
      </w:r>
      <w:r w:rsidR="00DA1CF7">
        <w:rPr>
          <w:rFonts w:hint="eastAsia"/>
        </w:rPr>
        <w:t>入境</w:t>
      </w:r>
      <w:r>
        <w:rPr>
          <w:rFonts w:hint="eastAsia"/>
        </w:rPr>
        <w:t>旅游对“一带一路”的影响；尤其值得高度关注的是传统丝绸之路沿线西部区域在具有全球意义的“一带一路”战略向纵深推进过程中关联区域的产业分化和选择；高度关注关联区域在整体“一带一路”战略发展中的优势或先导产业的介入。必须把握“一带一路”沿线西部地区</w:t>
      </w:r>
      <w:r w:rsidR="00DA1CF7">
        <w:rPr>
          <w:rFonts w:hint="eastAsia"/>
        </w:rPr>
        <w:t>入境</w:t>
      </w:r>
      <w:r>
        <w:rPr>
          <w:rFonts w:hint="eastAsia"/>
        </w:rPr>
        <w:t>旅游发展的新特征和运行趋势，科学合理地认知</w:t>
      </w:r>
      <w:r w:rsidR="00DA1CF7">
        <w:rPr>
          <w:rFonts w:hint="eastAsia"/>
        </w:rPr>
        <w:t>入境</w:t>
      </w:r>
      <w:r>
        <w:rPr>
          <w:rFonts w:hint="eastAsia"/>
        </w:rPr>
        <w:t>旅游发展和“一带一路”发展的互适，从而精准地制定“一带一路”沿线西部区域优势或先导产业发展战略。</w:t>
      </w:r>
      <w:r>
        <w:rPr>
          <w:rFonts w:hint="eastAsia"/>
        </w:rPr>
        <w:t xml:space="preserve">  </w:t>
      </w:r>
    </w:p>
    <w:p w:rsidR="00D678F9" w:rsidRPr="00D17E48" w:rsidRDefault="00D678F9" w:rsidP="001B52FF">
      <w:pPr>
        <w:tabs>
          <w:tab w:val="left" w:pos="4935"/>
        </w:tabs>
        <w:spacing w:line="360" w:lineRule="auto"/>
        <w:jc w:val="center"/>
        <w:rPr>
          <w:b/>
        </w:rPr>
      </w:pPr>
      <w:r w:rsidRPr="00D17E48">
        <w:rPr>
          <w:rFonts w:hint="eastAsia"/>
          <w:b/>
        </w:rPr>
        <w:t>一、丝绸之路沿线西部地区入境旅游发展的实证研究</w:t>
      </w:r>
    </w:p>
    <w:p w:rsidR="00AF0AC1" w:rsidRPr="000E13C5" w:rsidRDefault="00E365FF" w:rsidP="007E5BE2">
      <w:pPr>
        <w:spacing w:line="360" w:lineRule="auto"/>
        <w:ind w:firstLineChars="245" w:firstLine="517"/>
        <w:rPr>
          <w:b/>
        </w:rPr>
      </w:pPr>
      <w:r>
        <w:rPr>
          <w:rFonts w:hint="eastAsia"/>
          <w:b/>
        </w:rPr>
        <w:t>1.</w:t>
      </w:r>
      <w:r w:rsidR="00AF0AC1" w:rsidRPr="000E13C5">
        <w:rPr>
          <w:rFonts w:hint="eastAsia"/>
          <w:b/>
        </w:rPr>
        <w:t>研究设计</w:t>
      </w:r>
    </w:p>
    <w:p w:rsidR="00BF4679" w:rsidRDefault="002C7D10" w:rsidP="007E5BE2">
      <w:pPr>
        <w:spacing w:line="360" w:lineRule="auto"/>
        <w:ind w:firstLineChars="200" w:firstLine="420"/>
        <w:outlineLvl w:val="0"/>
      </w:pPr>
      <w:r>
        <w:rPr>
          <w:rFonts w:hint="eastAsia"/>
        </w:rPr>
        <w:lastRenderedPageBreak/>
        <w:t>（</w:t>
      </w:r>
      <w:r>
        <w:rPr>
          <w:rFonts w:hint="eastAsia"/>
        </w:rPr>
        <w:t>1</w:t>
      </w:r>
      <w:r>
        <w:rPr>
          <w:rFonts w:hint="eastAsia"/>
        </w:rPr>
        <w:t>）</w:t>
      </w:r>
      <w:r w:rsidR="00BF4679">
        <w:rPr>
          <w:rFonts w:hint="eastAsia"/>
        </w:rPr>
        <w:t>研究区域概况</w:t>
      </w:r>
    </w:p>
    <w:p w:rsidR="00F73607" w:rsidRPr="00F73607" w:rsidRDefault="00F73607" w:rsidP="00B34920">
      <w:pPr>
        <w:spacing w:line="360" w:lineRule="auto"/>
        <w:ind w:firstLineChars="200" w:firstLine="420"/>
      </w:pPr>
      <w:r>
        <w:rPr>
          <w:rFonts w:hint="eastAsia"/>
        </w:rPr>
        <w:t>我国</w:t>
      </w:r>
      <w:r w:rsidR="00BF4679" w:rsidRPr="00BF4679">
        <w:rPr>
          <w:rFonts w:hint="eastAsia"/>
        </w:rPr>
        <w:t>西部地区自古以来就是东西方文化和各类生产要素及商品交换的重要通道，是中华民族和华夏文明重要的发祥地，同时也是中华民族多元民族文化最集中的存续</w:t>
      </w:r>
      <w:r>
        <w:rPr>
          <w:rFonts w:hint="eastAsia"/>
        </w:rPr>
        <w:t>地</w:t>
      </w:r>
      <w:r w:rsidR="00BF4679" w:rsidRPr="00BF4679">
        <w:rPr>
          <w:rFonts w:hint="eastAsia"/>
        </w:rPr>
        <w:t>和展示地，该区域潜藏着丰富的、厚重的文化资源和文化旅游资源，其中作为“全人类共同的记忆”的“丝绸之路”文化旅游在国家“一带一路”战略启动和实施过程中成为全世界最受瞩目的旅游产品和旅游线路，其较小的旅游弹性对外国游客形成了高度的文化引力与文化魅力，为我国西部地区入境旅游市场的培育与发展奠定了良好的文化基础。</w:t>
      </w:r>
      <w:r w:rsidRPr="00F73607">
        <w:rPr>
          <w:rFonts w:hint="eastAsia"/>
        </w:rPr>
        <w:t>在整个丝绸之路文化旅游体系中，</w:t>
      </w:r>
      <w:r>
        <w:rPr>
          <w:rFonts w:hint="eastAsia"/>
        </w:rPr>
        <w:t>该区域的</w:t>
      </w:r>
      <w:r w:rsidRPr="00F73607">
        <w:rPr>
          <w:rFonts w:hint="eastAsia"/>
        </w:rPr>
        <w:t>各个区段既是丝绸之路文化旅游产业发展的重要组成部分，同时各个区段的文化特质又有显著差异，不同区段间的旅游资源和产品形成了有机错位，为我国西部地区入境旅游市场的培育与发展奠定了良好的资源与产品基础。</w:t>
      </w:r>
    </w:p>
    <w:p w:rsidR="00F73607" w:rsidRPr="00F73607" w:rsidRDefault="002C7D10" w:rsidP="007E5BE2">
      <w:pPr>
        <w:spacing w:line="360" w:lineRule="auto"/>
        <w:ind w:firstLineChars="200" w:firstLine="420"/>
      </w:pPr>
      <w:r>
        <w:rPr>
          <w:rFonts w:hint="eastAsia"/>
        </w:rPr>
        <w:t>（</w:t>
      </w:r>
      <w:r>
        <w:rPr>
          <w:rFonts w:hint="eastAsia"/>
        </w:rPr>
        <w:t>2</w:t>
      </w:r>
      <w:r>
        <w:rPr>
          <w:rFonts w:hint="eastAsia"/>
        </w:rPr>
        <w:t>）</w:t>
      </w:r>
      <w:r w:rsidR="00F73607" w:rsidRPr="00F73607">
        <w:rPr>
          <w:rFonts w:hint="eastAsia"/>
        </w:rPr>
        <w:t>数据来源</w:t>
      </w:r>
      <w:r w:rsidR="00800BD6">
        <w:rPr>
          <w:rFonts w:hint="eastAsia"/>
        </w:rPr>
        <w:t>、</w:t>
      </w:r>
      <w:r w:rsidR="00A65885">
        <w:rPr>
          <w:rFonts w:hint="eastAsia"/>
        </w:rPr>
        <w:t>研究样本</w:t>
      </w:r>
      <w:r w:rsidR="00800BD6">
        <w:rPr>
          <w:rFonts w:hint="eastAsia"/>
        </w:rPr>
        <w:t>及研究方法：</w:t>
      </w:r>
    </w:p>
    <w:p w:rsidR="00BF4679" w:rsidRPr="00F73607" w:rsidRDefault="00C25A20" w:rsidP="00B34920">
      <w:pPr>
        <w:spacing w:line="360" w:lineRule="auto"/>
        <w:ind w:firstLineChars="200" w:firstLine="420"/>
      </w:pPr>
      <w:r>
        <w:rPr>
          <w:rFonts w:hint="eastAsia"/>
        </w:rPr>
        <w:t>考虑到本文对入境旅游研究的需要和</w:t>
      </w:r>
      <w:r w:rsidR="00F73607" w:rsidRPr="00F73607">
        <w:t>研究方法的选择，本文以入境旅游人数</w:t>
      </w:r>
      <w:r w:rsidR="00F73607">
        <w:rPr>
          <w:rFonts w:hint="eastAsia"/>
        </w:rPr>
        <w:t>、</w:t>
      </w:r>
      <w:r w:rsidR="00F73607" w:rsidRPr="00F73607">
        <w:t>入境旅游收入</w:t>
      </w:r>
      <w:r w:rsidR="00F73607">
        <w:rPr>
          <w:rFonts w:hint="eastAsia"/>
        </w:rPr>
        <w:t>、入境客源国及人均花费</w:t>
      </w:r>
      <w:r w:rsidR="00F73607" w:rsidRPr="00F73607">
        <w:t>作为</w:t>
      </w:r>
      <w:r w:rsidR="00F73607">
        <w:rPr>
          <w:rFonts w:hint="eastAsia"/>
        </w:rPr>
        <w:t>考察我国西区地区</w:t>
      </w:r>
      <w:r w:rsidR="00F73607" w:rsidRPr="00F73607">
        <w:t>入境旅游</w:t>
      </w:r>
      <w:r w:rsidR="00F73607">
        <w:rPr>
          <w:rFonts w:hint="eastAsia"/>
        </w:rPr>
        <w:t>发展态势及进而研究我国西部地区入境发展战略</w:t>
      </w:r>
      <w:r w:rsidR="00F648CC">
        <w:rPr>
          <w:rFonts w:hint="eastAsia"/>
        </w:rPr>
        <w:t>的</w:t>
      </w:r>
      <w:r w:rsidR="00F73607" w:rsidRPr="00F73607">
        <w:t>基础数据，数据来源于</w:t>
      </w:r>
      <w:r w:rsidR="00F73607">
        <w:rPr>
          <w:rFonts w:hint="eastAsia"/>
        </w:rPr>
        <w:t>2006-2016</w:t>
      </w:r>
      <w:r w:rsidR="00F73607" w:rsidRPr="00F73607">
        <w:t>年历年的《</w:t>
      </w:r>
      <w:r w:rsidR="00F73607">
        <w:rPr>
          <w:rFonts w:hint="eastAsia"/>
        </w:rPr>
        <w:t>中国</w:t>
      </w:r>
      <w:r w:rsidR="00E201B9">
        <w:rPr>
          <w:rFonts w:hint="eastAsia"/>
        </w:rPr>
        <w:t>旅游统计年鉴》、《陕西统计年鉴》、《宁夏统计年鉴》、《甘肃统计年鉴》、《青海统计年鉴》、《新疆省统计年鉴》、《北京统计年鉴》、《四川统计年鉴》、《上海统计年鉴》及历年</w:t>
      </w:r>
      <w:r w:rsidR="00536DEB">
        <w:rPr>
          <w:rFonts w:hint="eastAsia"/>
        </w:rPr>
        <w:t>各</w:t>
      </w:r>
      <w:r w:rsidR="00E201B9">
        <w:rPr>
          <w:rFonts w:hint="eastAsia"/>
        </w:rPr>
        <w:t>省（区、市）《国民经济与社会发展统计公报》。</w:t>
      </w:r>
      <w:r w:rsidR="00714C9B">
        <w:rPr>
          <w:rFonts w:hint="eastAsia"/>
        </w:rPr>
        <w:t>同时，</w:t>
      </w:r>
      <w:r w:rsidR="00E201B9">
        <w:rPr>
          <w:rFonts w:hint="eastAsia"/>
        </w:rPr>
        <w:t>基于我国西部地区发展入境旅游的良好基础和条件，如无特殊注明，本文中所述“西部地区”为我国丝绸之路经济带沿线</w:t>
      </w:r>
      <w:r w:rsidR="00F648CC">
        <w:rPr>
          <w:rFonts w:hint="eastAsia"/>
        </w:rPr>
        <w:t>西部</w:t>
      </w:r>
      <w:r w:rsidR="00E201B9">
        <w:rPr>
          <w:rFonts w:hint="eastAsia"/>
        </w:rPr>
        <w:t>各省区，具体包括陕西、宁夏、甘肃、青海、新疆五省区。同时，为了对我国西部地区入境旅游市场实现更为精准的把握，本文选取北京、四川、上海分别作为我国华北、华南及华东地区的参照入境旅游目的地进行分析。</w:t>
      </w:r>
    </w:p>
    <w:p w:rsidR="00E201B9" w:rsidRDefault="00BF4679" w:rsidP="00B34920">
      <w:pPr>
        <w:spacing w:line="360" w:lineRule="auto"/>
        <w:ind w:firstLineChars="200" w:firstLine="420"/>
      </w:pPr>
      <w:r>
        <w:rPr>
          <w:rFonts w:hint="eastAsia"/>
        </w:rPr>
        <w:t>本文主要采用时间序列分析法和对比分析法，以我国其他入境旅游重点区域对我国西部地区的入境旅游市场增长率、人均花费、消费结构</w:t>
      </w:r>
      <w:r w:rsidR="00D851BC">
        <w:rPr>
          <w:rFonts w:hint="eastAsia"/>
        </w:rPr>
        <w:t>、客源国结构、客源国质量</w:t>
      </w:r>
      <w:r>
        <w:rPr>
          <w:rFonts w:hint="eastAsia"/>
        </w:rPr>
        <w:t>进行分析，</w:t>
      </w:r>
      <w:r w:rsidR="00E201B9">
        <w:rPr>
          <w:rFonts w:hint="eastAsia"/>
        </w:rPr>
        <w:t>同时，通过以下方法对各个区域入境游客客源国与消费结构质量进行对比分析</w:t>
      </w:r>
      <w:r w:rsidR="00622B8F">
        <w:rPr>
          <w:rFonts w:hint="eastAsia"/>
        </w:rPr>
        <w:t>：</w:t>
      </w:r>
    </w:p>
    <w:p w:rsidR="00714C9B" w:rsidRDefault="00714C9B" w:rsidP="00B34920">
      <w:pPr>
        <w:spacing w:line="360" w:lineRule="auto"/>
        <w:ind w:firstLine="420"/>
      </w:pPr>
      <w:r>
        <w:rPr>
          <w:rFonts w:hint="eastAsia"/>
        </w:rPr>
        <w:t>入境旅游客源质量分为两个方面，一是以整个入境旅游市场为基础，将</w:t>
      </w:r>
      <w:r w:rsidR="004A07B1">
        <w:rPr>
          <w:rFonts w:hint="eastAsia"/>
        </w:rPr>
        <w:t>入境旅游分为港澳台市场和外国人市场，这与我国的特殊条件不无相关，且这种划分方法在我国出入境旅游统计体系中较为常见，虽争议较多</w:t>
      </w:r>
      <w:r w:rsidR="00D851BC">
        <w:rPr>
          <w:rStyle w:val="ac"/>
        </w:rPr>
        <w:footnoteReference w:customMarkFollows="1" w:id="1"/>
        <w:t>[1]</w:t>
      </w:r>
      <w:r w:rsidR="004A07B1">
        <w:rPr>
          <w:rFonts w:hint="eastAsia"/>
        </w:rPr>
        <w:t>，但一直作为官方统计我国入境旅游</w:t>
      </w:r>
      <w:r w:rsidR="00113C3B">
        <w:rPr>
          <w:rFonts w:hint="eastAsia"/>
        </w:rPr>
        <w:t>相关数据的基础</w:t>
      </w:r>
      <w:r w:rsidR="006C6F16">
        <w:rPr>
          <w:rFonts w:hint="eastAsia"/>
        </w:rPr>
        <w:t>，且笔者认为在这种划分方法中外国人比重越高则入境游客结构质量越高，反之</w:t>
      </w:r>
      <w:r w:rsidR="00C815C9">
        <w:rPr>
          <w:rFonts w:hint="eastAsia"/>
        </w:rPr>
        <w:t>；二是国际上</w:t>
      </w:r>
      <w:r w:rsidR="00C815C9">
        <w:rPr>
          <w:rFonts w:hint="eastAsia"/>
        </w:rPr>
        <w:lastRenderedPageBreak/>
        <w:t>较为普遍的方法，即</w:t>
      </w:r>
      <w:r w:rsidR="00B35918">
        <w:rPr>
          <w:rFonts w:hint="eastAsia"/>
        </w:rPr>
        <w:t>入境旅游市场</w:t>
      </w:r>
      <w:r w:rsidR="00113C3B">
        <w:rPr>
          <w:rFonts w:hint="eastAsia"/>
        </w:rPr>
        <w:t>单指</w:t>
      </w:r>
      <w:r w:rsidR="004A07B1">
        <w:rPr>
          <w:rFonts w:hint="eastAsia"/>
        </w:rPr>
        <w:t>国际旅游市场，</w:t>
      </w:r>
      <w:r w:rsidR="00113C3B">
        <w:rPr>
          <w:rFonts w:hint="eastAsia"/>
        </w:rPr>
        <w:t>入境旅游数据实为国际旅游数据，且一般认为这种方法能够更好的反映某一国家旅游市场发展的</w:t>
      </w:r>
      <w:r w:rsidR="006C6F16">
        <w:rPr>
          <w:rFonts w:hint="eastAsia"/>
        </w:rPr>
        <w:t>国际化与</w:t>
      </w:r>
      <w:r w:rsidR="00113C3B">
        <w:rPr>
          <w:rFonts w:hint="eastAsia"/>
        </w:rPr>
        <w:t>全球化水平。基于这两种不同的出入境旅游统计体系，笔者对入境旅游客源质量进</w:t>
      </w:r>
      <w:r w:rsidR="00001BB4">
        <w:rPr>
          <w:rFonts w:hint="eastAsia"/>
        </w:rPr>
        <w:t>行了入境港澳台与入境外国人结构、不同客源国入境外国人结构两方面的分析，并</w:t>
      </w:r>
      <w:r w:rsidR="00113C3B">
        <w:rPr>
          <w:rFonts w:hint="eastAsia"/>
        </w:rPr>
        <w:t>针对第一种</w:t>
      </w:r>
      <w:r w:rsidR="001E6751">
        <w:rPr>
          <w:rFonts w:hint="eastAsia"/>
        </w:rPr>
        <w:t>客源质量</w:t>
      </w:r>
      <w:r w:rsidR="00113C3B">
        <w:rPr>
          <w:rFonts w:hint="eastAsia"/>
        </w:rPr>
        <w:t>分析设计了入境旅游客源质量指数</w:t>
      </w:r>
      <w:r w:rsidR="00113C3B">
        <w:rPr>
          <w:rFonts w:hint="eastAsia"/>
        </w:rPr>
        <w:t>Q</w:t>
      </w:r>
      <w:r w:rsidR="008C5F0B">
        <w:rPr>
          <w:rFonts w:hint="eastAsia"/>
        </w:rPr>
        <w:t>值</w:t>
      </w:r>
      <w:r w:rsidR="00113C3B">
        <w:rPr>
          <w:rFonts w:hint="eastAsia"/>
        </w:rPr>
        <w:t>，公式如下：</w:t>
      </w:r>
    </w:p>
    <w:p w:rsidR="00113C3B" w:rsidRDefault="00113C3B" w:rsidP="00800BD6">
      <w:pPr>
        <w:spacing w:line="360" w:lineRule="auto"/>
        <w:ind w:firstLine="420"/>
        <w:jc w:val="center"/>
        <w:outlineLvl w:val="0"/>
        <w:rPr>
          <w:i/>
          <w:sz w:val="28"/>
        </w:rPr>
      </w:pPr>
      <w:r w:rsidRPr="00113C3B">
        <w:rPr>
          <w:rFonts w:hint="eastAsia"/>
          <w:i/>
        </w:rPr>
        <w:t>Q=</w:t>
      </w:r>
      <m:oMath>
        <m:f>
          <m:fPr>
            <m:ctrlPr>
              <w:rPr>
                <w:rFonts w:ascii="Cambria Math" w:hAnsi="Cambria Math"/>
                <w:i/>
                <w:sz w:val="28"/>
              </w:rPr>
            </m:ctrlPr>
          </m:fPr>
          <m:num>
            <m:r>
              <w:rPr>
                <w:rFonts w:ascii="Cambria Math" w:hAnsi="Cambria Math"/>
                <w:sz w:val="28"/>
              </w:rPr>
              <m:t>QI</m:t>
            </m:r>
          </m:num>
          <m:den>
            <m:r>
              <w:rPr>
                <w:rFonts w:ascii="Cambria Math" w:hAnsi="Cambria Math"/>
                <w:sz w:val="28"/>
              </w:rPr>
              <m:t>QF</m:t>
            </m:r>
          </m:den>
        </m:f>
      </m:oMath>
    </w:p>
    <w:p w:rsidR="00113C3B" w:rsidRPr="00113C3B" w:rsidRDefault="00113C3B" w:rsidP="003B7EF5">
      <w:pPr>
        <w:spacing w:line="360" w:lineRule="auto"/>
        <w:ind w:firstLine="420"/>
      </w:pPr>
      <w:r>
        <w:rPr>
          <w:rFonts w:hint="eastAsia"/>
        </w:rPr>
        <w:t>其中，</w:t>
      </w:r>
      <w:r>
        <w:rPr>
          <w:rFonts w:eastAsia="宋体" w:hAnsi="Calibri" w:cs="Times New Roman" w:hint="eastAsia"/>
        </w:rPr>
        <w:t>Q</w:t>
      </w:r>
      <w:r>
        <w:rPr>
          <w:rFonts w:eastAsia="宋体" w:hAnsi="Calibri" w:cs="Times New Roman" w:hint="eastAsia"/>
        </w:rPr>
        <w:t>为入境旅游客源结构质量指数，</w:t>
      </w:r>
      <w:r>
        <w:rPr>
          <w:rFonts w:eastAsia="宋体" w:hAnsi="Calibri" w:cs="Times New Roman" w:hint="eastAsia"/>
        </w:rPr>
        <w:t>QI</w:t>
      </w:r>
      <w:r>
        <w:rPr>
          <w:rFonts w:eastAsia="宋体" w:hAnsi="Calibri" w:cs="Times New Roman" w:hint="eastAsia"/>
        </w:rPr>
        <w:t>某一年度某一地区港澳台游客占当年全部入境游客的百分比，</w:t>
      </w:r>
      <w:r>
        <w:rPr>
          <w:rFonts w:eastAsia="宋体" w:hAnsi="Calibri" w:cs="Times New Roman" w:hint="eastAsia"/>
        </w:rPr>
        <w:t>QF</w:t>
      </w:r>
      <w:r>
        <w:rPr>
          <w:rFonts w:eastAsia="宋体" w:hAnsi="Calibri" w:cs="Times New Roman" w:hint="eastAsia"/>
        </w:rPr>
        <w:t>某一年度某一地区外国人游客占当年全部入境游客的百分比。</w:t>
      </w:r>
      <w:r w:rsidR="006C6F16">
        <w:rPr>
          <w:rFonts w:eastAsia="宋体" w:hAnsi="Calibri" w:cs="Times New Roman" w:hint="eastAsia"/>
        </w:rPr>
        <w:t>当</w:t>
      </w:r>
      <w:r>
        <w:rPr>
          <w:rFonts w:eastAsia="宋体" w:hAnsi="Calibri" w:cs="Times New Roman" w:hint="eastAsia"/>
        </w:rPr>
        <w:t>Q</w:t>
      </w:r>
      <w:r>
        <w:rPr>
          <w:rFonts w:eastAsia="宋体" w:hAnsi="Calibri" w:cs="Times New Roman" w:hint="eastAsia"/>
        </w:rPr>
        <w:t>值</w:t>
      </w:r>
      <m:oMath>
        <m:r>
          <m:rPr>
            <m:sty m:val="p"/>
          </m:rPr>
          <w:rPr>
            <w:rFonts w:ascii="Cambria Math" w:eastAsia="宋体" w:hAnsi="Cambria Math" w:cs="Times New Roman"/>
          </w:rPr>
          <m:t>&gt;</m:t>
        </m:r>
      </m:oMath>
      <w:r w:rsidR="006C6F16">
        <w:rPr>
          <w:rFonts w:eastAsia="宋体" w:hAnsi="Calibri" w:cs="Times New Roman" w:hint="eastAsia"/>
        </w:rPr>
        <w:t>1</w:t>
      </w:r>
      <w:r w:rsidR="006C6F16">
        <w:rPr>
          <w:rFonts w:eastAsia="宋体" w:hAnsi="Calibri" w:cs="Times New Roman" w:hint="eastAsia"/>
        </w:rPr>
        <w:t>，</w:t>
      </w:r>
      <w:r>
        <w:rPr>
          <w:rFonts w:eastAsia="宋体" w:hAnsi="Calibri" w:cs="Times New Roman" w:hint="eastAsia"/>
        </w:rPr>
        <w:t>表明</w:t>
      </w:r>
      <w:r w:rsidR="006C6F16">
        <w:rPr>
          <w:rFonts w:eastAsia="宋体" w:hAnsi="Calibri" w:cs="Times New Roman" w:hint="eastAsia"/>
        </w:rPr>
        <w:t>入境旅游客中</w:t>
      </w:r>
      <w:r w:rsidR="00FD2AD7">
        <w:rPr>
          <w:rFonts w:eastAsia="宋体" w:hAnsi="Calibri" w:cs="Times New Roman" w:hint="eastAsia"/>
        </w:rPr>
        <w:t>港澳台游客</w:t>
      </w:r>
      <w:r w:rsidR="006C6F16">
        <w:rPr>
          <w:rFonts w:eastAsia="宋体" w:hAnsi="Calibri" w:cs="Times New Roman" w:hint="eastAsia"/>
        </w:rPr>
        <w:t>占比大于外国人游客占比，</w:t>
      </w:r>
      <w:r w:rsidR="00FD2AD7">
        <w:rPr>
          <w:rFonts w:eastAsia="宋体" w:hAnsi="Calibri" w:cs="Times New Roman" w:hint="eastAsia"/>
        </w:rPr>
        <w:t>则入境客源结构质量较低</w:t>
      </w:r>
      <w:r w:rsidR="006C6F16">
        <w:rPr>
          <w:rFonts w:eastAsia="宋体" w:hAnsi="Calibri" w:cs="Times New Roman" w:hint="eastAsia"/>
        </w:rPr>
        <w:t>，当</w:t>
      </w:r>
      <w:r w:rsidR="00FD2AD7">
        <w:rPr>
          <w:rFonts w:eastAsia="宋体" w:hAnsi="Calibri" w:cs="Times New Roman" w:hint="eastAsia"/>
        </w:rPr>
        <w:t>Q=1</w:t>
      </w:r>
      <w:r w:rsidR="00FD2AD7">
        <w:rPr>
          <w:rFonts w:eastAsia="宋体" w:hAnsi="Calibri" w:cs="Times New Roman" w:hint="eastAsia"/>
        </w:rPr>
        <w:t>，表明入境旅游客中港澳台游客</w:t>
      </w:r>
      <w:r w:rsidR="00766961">
        <w:rPr>
          <w:rFonts w:eastAsia="宋体" w:hAnsi="Calibri" w:cs="Times New Roman" w:hint="eastAsia"/>
        </w:rPr>
        <w:t>与</w:t>
      </w:r>
      <w:r w:rsidR="00FD2AD7">
        <w:rPr>
          <w:rFonts w:eastAsia="宋体" w:hAnsi="Calibri" w:cs="Times New Roman" w:hint="eastAsia"/>
        </w:rPr>
        <w:t>外国人游客占比相等；当</w:t>
      </w:r>
      <w:r w:rsidR="00FD2AD7">
        <w:rPr>
          <w:rFonts w:eastAsia="宋体" w:hAnsi="Calibri" w:cs="Times New Roman" w:hint="eastAsia"/>
        </w:rPr>
        <w:t>Q</w:t>
      </w:r>
      <m:oMath>
        <m:r>
          <m:rPr>
            <m:sty m:val="p"/>
          </m:rPr>
          <w:rPr>
            <w:rFonts w:ascii="Cambria Math" w:eastAsia="宋体" w:hAnsi="Cambria Math" w:cs="Times New Roman"/>
          </w:rPr>
          <m:t>&lt;</m:t>
        </m:r>
      </m:oMath>
      <w:r w:rsidR="00FD2AD7">
        <w:rPr>
          <w:rFonts w:eastAsia="宋体" w:hAnsi="Calibri" w:cs="Times New Roman" w:hint="eastAsia"/>
        </w:rPr>
        <w:t>1</w:t>
      </w:r>
      <w:r w:rsidR="00FD2AD7">
        <w:rPr>
          <w:rFonts w:eastAsia="宋体" w:hAnsi="Calibri" w:cs="Times New Roman" w:hint="eastAsia"/>
        </w:rPr>
        <w:t>，表明入境旅游客中港澳台游客占比小于外国人游客占比</w:t>
      </w:r>
      <w:r>
        <w:rPr>
          <w:rFonts w:eastAsia="宋体" w:hAnsi="Calibri" w:cs="Times New Roman" w:hint="eastAsia"/>
        </w:rPr>
        <w:t>，</w:t>
      </w:r>
      <w:r w:rsidR="00FD2AD7">
        <w:rPr>
          <w:rFonts w:eastAsia="宋体" w:hAnsi="Calibri" w:cs="Times New Roman" w:hint="eastAsia"/>
        </w:rPr>
        <w:t>则入境客源结构质量较高。</w:t>
      </w:r>
    </w:p>
    <w:p w:rsidR="00E201B9" w:rsidRDefault="008C5F0B" w:rsidP="00B34920">
      <w:pPr>
        <w:spacing w:line="360" w:lineRule="auto"/>
        <w:ind w:firstLine="420"/>
        <w:rPr>
          <w:rFonts w:eastAsia="宋体" w:hAnsi="Calibri" w:cs="Times New Roman"/>
        </w:rPr>
      </w:pPr>
      <w:r>
        <w:rPr>
          <w:rFonts w:eastAsia="宋体" w:hAnsi="Calibri" w:cs="Times New Roman" w:hint="eastAsia"/>
        </w:rPr>
        <w:t>而</w:t>
      </w:r>
      <w:r w:rsidR="00F015F7">
        <w:rPr>
          <w:rFonts w:eastAsia="宋体" w:hAnsi="Calibri" w:cs="Times New Roman" w:hint="eastAsia"/>
        </w:rPr>
        <w:t>旅游消费结构是游客在旅游过程中所消费的各种类型的消费资料（物质产品、精神产品、服务）的比例关系，是反映入境旅游发展程度和旅游产品结构的重要指标。</w:t>
      </w:r>
      <w:r w:rsidR="00622B8F">
        <w:rPr>
          <w:rFonts w:eastAsia="宋体" w:hAnsi="Calibri" w:cs="Times New Roman" w:hint="eastAsia"/>
        </w:rPr>
        <w:t>在各种类型的旅游统计年鉴中一般按照旅</w:t>
      </w:r>
      <w:r w:rsidR="00F015F7">
        <w:rPr>
          <w:rFonts w:eastAsia="宋体" w:hAnsi="Calibri" w:cs="Times New Roman" w:hint="eastAsia"/>
        </w:rPr>
        <w:t>游消费的不同用途将旅游消费结构分为基本旅游消费和非基本旅游消费，其中，</w:t>
      </w:r>
      <w:r w:rsidR="00622B8F">
        <w:rPr>
          <w:rFonts w:eastAsia="宋体" w:hAnsi="Calibri" w:cs="Times New Roman" w:hint="eastAsia"/>
        </w:rPr>
        <w:t>基本旅游消费包括交通支出、游览支出、饮食支出、住宿</w:t>
      </w:r>
      <w:r w:rsidR="00F015F7">
        <w:rPr>
          <w:rFonts w:eastAsia="宋体" w:hAnsi="Calibri" w:cs="Times New Roman" w:hint="eastAsia"/>
        </w:rPr>
        <w:t>支出等相对稳定且弹性较小的支出；非基本旅游消费包括旅游购物支出、娱乐休闲支出、邮电通讯消费等相对波动且弹</w:t>
      </w:r>
      <w:r w:rsidR="00622B8F">
        <w:rPr>
          <w:rFonts w:eastAsia="宋体" w:hAnsi="Calibri" w:cs="Times New Roman" w:hint="eastAsia"/>
        </w:rPr>
        <w:t>性较大的支出。</w:t>
      </w:r>
      <w:r w:rsidR="00F015F7">
        <w:rPr>
          <w:rFonts w:eastAsia="宋体" w:hAnsi="Calibri" w:cs="Times New Roman" w:hint="eastAsia"/>
        </w:rPr>
        <w:t>本文通过入境旅游消费结构</w:t>
      </w:r>
      <w:r>
        <w:rPr>
          <w:rFonts w:eastAsia="宋体" w:hAnsi="Calibri" w:cs="Times New Roman" w:hint="eastAsia"/>
        </w:rPr>
        <w:t>指数</w:t>
      </w:r>
      <w:r w:rsidR="00F015F7">
        <w:rPr>
          <w:rFonts w:eastAsia="宋体" w:hAnsi="Calibri" w:cs="Times New Roman" w:hint="eastAsia"/>
        </w:rPr>
        <w:t>E</w:t>
      </w:r>
      <w:r w:rsidR="00F015F7">
        <w:rPr>
          <w:rFonts w:eastAsia="宋体" w:hAnsi="Calibri" w:cs="Times New Roman" w:hint="eastAsia"/>
        </w:rPr>
        <w:t>值来反映入境旅游消费结构的变动趋势，公式如下：</w:t>
      </w:r>
    </w:p>
    <w:p w:rsidR="00F015F7" w:rsidRPr="00F6011B" w:rsidRDefault="00F015F7" w:rsidP="00800BD6">
      <w:pPr>
        <w:spacing w:line="360" w:lineRule="auto"/>
        <w:ind w:firstLineChars="200" w:firstLine="420"/>
        <w:jc w:val="center"/>
        <w:outlineLvl w:val="0"/>
        <w:rPr>
          <w:rFonts w:eastAsia="宋体" w:hAnsi="Calibri" w:cs="Times New Roman"/>
          <w:i/>
        </w:rPr>
      </w:pPr>
      <w:r>
        <w:rPr>
          <w:rFonts w:eastAsia="宋体" w:hAnsi="Calibri" w:cs="Times New Roman" w:hint="eastAsia"/>
          <w:i/>
        </w:rPr>
        <w:t>E</w:t>
      </w:r>
      <w:r w:rsidRPr="00F6011B">
        <w:rPr>
          <w:rFonts w:eastAsia="宋体" w:hAnsi="Calibri" w:cs="Times New Roman" w:hint="eastAsia"/>
          <w:i/>
        </w:rPr>
        <w:t>=</w:t>
      </w:r>
      <m:oMath>
        <m:f>
          <m:fPr>
            <m:ctrlPr>
              <w:rPr>
                <w:rFonts w:ascii="Cambria Math" w:eastAsia="宋体" w:hAnsi="Cambria Math" w:cs="Times New Roman"/>
                <w:sz w:val="28"/>
              </w:rPr>
            </m:ctrlPr>
          </m:fPr>
          <m:num>
            <m:r>
              <w:rPr>
                <w:rFonts w:ascii="Cambria Math" w:eastAsia="宋体" w:hAnsi="Cambria Math" w:cs="Times New Roman"/>
                <w:sz w:val="28"/>
              </w:rPr>
              <m:t>EA</m:t>
            </m:r>
          </m:num>
          <m:den>
            <m:r>
              <w:rPr>
                <w:rFonts w:ascii="Cambria Math" w:eastAsia="宋体" w:hAnsi="Cambria Math" w:cs="Times New Roman"/>
                <w:sz w:val="28"/>
              </w:rPr>
              <m:t>EB</m:t>
            </m:r>
          </m:den>
        </m:f>
      </m:oMath>
    </w:p>
    <w:p w:rsidR="00F015F7" w:rsidRDefault="00F015F7" w:rsidP="00B34920">
      <w:pPr>
        <w:spacing w:line="360" w:lineRule="auto"/>
        <w:ind w:firstLine="420"/>
        <w:rPr>
          <w:rFonts w:eastAsia="宋体" w:hAnsi="Calibri" w:cs="Times New Roman"/>
        </w:rPr>
      </w:pPr>
      <w:r>
        <w:rPr>
          <w:rFonts w:eastAsia="宋体" w:hAnsi="Calibri" w:cs="Times New Roman" w:hint="eastAsia"/>
        </w:rPr>
        <w:t>其中，</w:t>
      </w:r>
      <w:r>
        <w:rPr>
          <w:rFonts w:eastAsia="宋体" w:hAnsi="Calibri" w:cs="Times New Roman" w:hint="eastAsia"/>
        </w:rPr>
        <w:t>E</w:t>
      </w:r>
      <w:r>
        <w:rPr>
          <w:rFonts w:eastAsia="宋体" w:hAnsi="Calibri" w:cs="Times New Roman" w:hint="eastAsia"/>
        </w:rPr>
        <w:t>为入境旅游消费结构指数，</w:t>
      </w:r>
      <w:r>
        <w:rPr>
          <w:rFonts w:eastAsia="宋体" w:hAnsi="Calibri" w:cs="Times New Roman" w:hint="eastAsia"/>
        </w:rPr>
        <w:t>EA</w:t>
      </w:r>
      <w:r>
        <w:rPr>
          <w:rFonts w:eastAsia="宋体" w:hAnsi="Calibri" w:cs="Times New Roman" w:hint="eastAsia"/>
        </w:rPr>
        <w:t>为非基本入境旅游消费支出占入境旅游总消费支出的百分比，</w:t>
      </w:r>
      <w:r>
        <w:rPr>
          <w:rFonts w:eastAsia="宋体" w:hAnsi="Calibri" w:cs="Times New Roman" w:hint="eastAsia"/>
        </w:rPr>
        <w:t>EB</w:t>
      </w:r>
      <w:r>
        <w:rPr>
          <w:rFonts w:eastAsia="宋体" w:hAnsi="Calibri" w:cs="Times New Roman" w:hint="eastAsia"/>
        </w:rPr>
        <w:t>为基本入境旅游消费支出占入境旅游总消费支出的百分比。</w:t>
      </w:r>
      <w:r w:rsidR="00B34920">
        <w:rPr>
          <w:rFonts w:eastAsia="宋体" w:hAnsi="Calibri" w:cs="Times New Roman" w:hint="eastAsia"/>
        </w:rPr>
        <w:t>E</w:t>
      </w:r>
      <w:r>
        <w:rPr>
          <w:rFonts w:eastAsia="宋体" w:hAnsi="Calibri" w:cs="Times New Roman" w:hint="eastAsia"/>
        </w:rPr>
        <w:t>值越大，表明区域入境旅游消费结构质量越高，即入境旅游消费中非基本性消费占比越大，基本性消费占比越小，入境旅游市场发展水平越高。</w:t>
      </w:r>
    </w:p>
    <w:p w:rsidR="00AF0AC1" w:rsidRPr="00D678F9" w:rsidRDefault="002C7D10" w:rsidP="007E5BE2">
      <w:pPr>
        <w:spacing w:line="360" w:lineRule="auto"/>
        <w:ind w:firstLineChars="196" w:firstLine="413"/>
        <w:rPr>
          <w:rFonts w:eastAsia="宋体" w:hAnsi="Calibri" w:cs="Times New Roman"/>
          <w:b/>
        </w:rPr>
      </w:pPr>
      <w:r>
        <w:rPr>
          <w:rFonts w:eastAsia="宋体" w:hAnsi="Calibri" w:cs="Times New Roman" w:hint="eastAsia"/>
          <w:b/>
        </w:rPr>
        <w:t>2.</w:t>
      </w:r>
      <w:r w:rsidR="00AF0AC1" w:rsidRPr="00D678F9">
        <w:rPr>
          <w:rFonts w:eastAsia="宋体" w:hAnsi="Calibri" w:cs="Times New Roman" w:hint="eastAsia"/>
          <w:b/>
        </w:rPr>
        <w:t>研究结果</w:t>
      </w:r>
    </w:p>
    <w:p w:rsidR="00AF0AC1" w:rsidRPr="002C7D10" w:rsidRDefault="002C7D10" w:rsidP="007E5BE2">
      <w:pPr>
        <w:spacing w:line="360" w:lineRule="auto"/>
        <w:ind w:firstLineChars="196" w:firstLine="413"/>
        <w:rPr>
          <w:rFonts w:eastAsia="宋体" w:hAnsi="Calibri" w:cs="Times New Roman"/>
          <w:b/>
        </w:rPr>
      </w:pPr>
      <w:r>
        <w:rPr>
          <w:rFonts w:eastAsia="宋体" w:hAnsi="Calibri" w:cs="Times New Roman" w:hint="eastAsia"/>
          <w:b/>
        </w:rPr>
        <w:t>（</w:t>
      </w:r>
      <w:r>
        <w:rPr>
          <w:rFonts w:eastAsia="宋体" w:hAnsi="Calibri" w:cs="Times New Roman" w:hint="eastAsia"/>
          <w:b/>
        </w:rPr>
        <w:t>1</w:t>
      </w:r>
      <w:r>
        <w:rPr>
          <w:rFonts w:eastAsia="宋体" w:hAnsi="Calibri" w:cs="Times New Roman" w:hint="eastAsia"/>
          <w:b/>
        </w:rPr>
        <w:t>）</w:t>
      </w:r>
      <w:r w:rsidR="00AF0AC1" w:rsidRPr="002C7D10">
        <w:rPr>
          <w:rFonts w:eastAsia="宋体" w:hAnsi="Calibri" w:cs="Times New Roman" w:hint="eastAsia"/>
          <w:b/>
        </w:rPr>
        <w:t>西部地区入境旅游现状</w:t>
      </w:r>
      <w:r w:rsidR="00E70B82" w:rsidRPr="002C7D10">
        <w:rPr>
          <w:rFonts w:eastAsia="宋体" w:hAnsi="Calibri" w:cs="Times New Roman" w:hint="eastAsia"/>
          <w:b/>
        </w:rPr>
        <w:t>分析</w:t>
      </w:r>
    </w:p>
    <w:p w:rsidR="00A9790A" w:rsidRPr="00A9790A" w:rsidRDefault="00A9790A" w:rsidP="00A9790A">
      <w:pPr>
        <w:spacing w:line="360" w:lineRule="auto"/>
        <w:ind w:firstLineChars="200" w:firstLine="420"/>
        <w:rPr>
          <w:rFonts w:eastAsia="宋体" w:hAnsi="Calibri" w:cs="Times New Roman"/>
        </w:rPr>
      </w:pPr>
      <w:r w:rsidRPr="00A9790A">
        <w:rPr>
          <w:rFonts w:eastAsia="宋体" w:hAnsi="Calibri" w:cs="Times New Roman" w:hint="eastAsia"/>
        </w:rPr>
        <w:t>从图</w:t>
      </w:r>
      <w:r>
        <w:rPr>
          <w:rFonts w:eastAsia="宋体" w:hAnsi="Calibri" w:cs="Times New Roman" w:hint="eastAsia"/>
        </w:rPr>
        <w:t>1</w:t>
      </w:r>
      <w:r w:rsidRPr="00A9790A">
        <w:rPr>
          <w:rFonts w:eastAsia="宋体" w:hAnsi="Calibri" w:cs="Times New Roman" w:hint="eastAsia"/>
        </w:rPr>
        <w:t>可以看出，</w:t>
      </w:r>
      <w:r w:rsidRPr="00A9790A">
        <w:rPr>
          <w:rFonts w:eastAsia="宋体" w:hAnsi="Calibri" w:cs="Times New Roman" w:hint="eastAsia"/>
        </w:rPr>
        <w:t>2006-2016</w:t>
      </w:r>
      <w:r w:rsidRPr="00A9790A">
        <w:rPr>
          <w:rFonts w:eastAsia="宋体" w:hAnsi="Calibri" w:cs="Times New Roman" w:hint="eastAsia"/>
        </w:rPr>
        <w:t>年间我国西部地区入境旅游人数与入境旅游消费的变动趋势基本一致，且大致经历了</w:t>
      </w:r>
      <w:r w:rsidRPr="00A9790A">
        <w:rPr>
          <w:rFonts w:eastAsia="宋体" w:hAnsi="Calibri" w:cs="Times New Roman" w:hint="eastAsia"/>
        </w:rPr>
        <w:t>3</w:t>
      </w:r>
      <w:r w:rsidRPr="00A9790A">
        <w:rPr>
          <w:rFonts w:eastAsia="宋体" w:hAnsi="Calibri" w:cs="Times New Roman" w:hint="eastAsia"/>
        </w:rPr>
        <w:t>个发展阶段。第一阶段（</w:t>
      </w:r>
      <w:r w:rsidRPr="00A9790A">
        <w:rPr>
          <w:rFonts w:eastAsia="宋体" w:hAnsi="Calibri" w:cs="Times New Roman" w:hint="eastAsia"/>
        </w:rPr>
        <w:t>2006-2009</w:t>
      </w:r>
      <w:r w:rsidRPr="00A9790A">
        <w:rPr>
          <w:rFonts w:eastAsia="宋体" w:hAnsi="Calibri" w:cs="Times New Roman" w:hint="eastAsia"/>
        </w:rPr>
        <w:t>）为低位运行期。这一阶段，西部地区入境旅游市场进行初步开拓形成，入境旅游人数与入境旅游</w:t>
      </w:r>
      <w:r w:rsidR="00C50D7A">
        <w:rPr>
          <w:rFonts w:eastAsia="宋体" w:hAnsi="Calibri" w:cs="Times New Roman" w:hint="eastAsia"/>
        </w:rPr>
        <w:t>收入</w:t>
      </w:r>
      <w:r w:rsidRPr="00A9790A">
        <w:rPr>
          <w:rFonts w:eastAsia="宋体" w:hAnsi="Calibri" w:cs="Times New Roman" w:hint="eastAsia"/>
        </w:rPr>
        <w:t>变动较为平稳，入境旅游人数由</w:t>
      </w:r>
      <w:r w:rsidRPr="00A9790A">
        <w:rPr>
          <w:rFonts w:eastAsia="宋体" w:hAnsi="Calibri" w:cs="Times New Roman" w:hint="eastAsia"/>
        </w:rPr>
        <w:t>2006</w:t>
      </w:r>
      <w:r w:rsidRPr="00A9790A">
        <w:rPr>
          <w:rFonts w:eastAsia="宋体" w:hAnsi="Calibri" w:cs="Times New Roman" w:hint="eastAsia"/>
        </w:rPr>
        <w:t>年的</w:t>
      </w:r>
      <w:r w:rsidRPr="00A9790A">
        <w:rPr>
          <w:rFonts w:eastAsia="宋体" w:hAnsi="Calibri" w:cs="Times New Roman" w:hint="eastAsia"/>
        </w:rPr>
        <w:t>177.76</w:t>
      </w:r>
      <w:r w:rsidRPr="00A9790A">
        <w:rPr>
          <w:rFonts w:eastAsia="宋体" w:hAnsi="Calibri" w:cs="Times New Roman" w:hint="eastAsia"/>
        </w:rPr>
        <w:t>万人次增长为</w:t>
      </w:r>
      <w:r w:rsidRPr="00A9790A">
        <w:rPr>
          <w:rFonts w:eastAsia="宋体" w:hAnsi="Calibri" w:cs="Times New Roman" w:hint="eastAsia"/>
        </w:rPr>
        <w:t>2009</w:t>
      </w:r>
      <w:r w:rsidRPr="00A9790A">
        <w:rPr>
          <w:rFonts w:eastAsia="宋体" w:hAnsi="Calibri" w:cs="Times New Roman" w:hint="eastAsia"/>
        </w:rPr>
        <w:t>年的</w:t>
      </w:r>
      <w:r w:rsidRPr="00A9790A">
        <w:rPr>
          <w:rFonts w:eastAsia="宋体" w:hAnsi="Calibri" w:cs="Times New Roman" w:hint="eastAsia"/>
        </w:rPr>
        <w:t>191.61</w:t>
      </w:r>
      <w:r w:rsidRPr="00A9790A">
        <w:rPr>
          <w:rFonts w:eastAsia="宋体" w:hAnsi="Calibri" w:cs="Times New Roman" w:hint="eastAsia"/>
        </w:rPr>
        <w:t>万人次，增长率为</w:t>
      </w:r>
      <w:r w:rsidRPr="00A9790A">
        <w:rPr>
          <w:rFonts w:eastAsia="宋体" w:hAnsi="Calibri" w:cs="Times New Roman" w:hint="eastAsia"/>
        </w:rPr>
        <w:t>7.79%</w:t>
      </w:r>
      <w:r w:rsidRPr="00A9790A">
        <w:rPr>
          <w:rFonts w:eastAsia="宋体" w:hAnsi="Calibri" w:cs="Times New Roman" w:hint="eastAsia"/>
        </w:rPr>
        <w:t>；</w:t>
      </w:r>
      <w:r w:rsidRPr="00A9790A">
        <w:rPr>
          <w:rFonts w:eastAsia="宋体" w:hAnsi="Calibri" w:cs="Times New Roman" w:hint="eastAsia"/>
        </w:rPr>
        <w:lastRenderedPageBreak/>
        <w:t>入境旅游</w:t>
      </w:r>
      <w:r w:rsidR="009B63AB">
        <w:rPr>
          <w:rFonts w:eastAsia="宋体" w:hAnsi="Calibri" w:cs="Times New Roman" w:hint="eastAsia"/>
        </w:rPr>
        <w:t>收入</w:t>
      </w:r>
      <w:r w:rsidRPr="00A9790A">
        <w:rPr>
          <w:rFonts w:eastAsia="宋体" w:hAnsi="Calibri" w:cs="Times New Roman" w:hint="eastAsia"/>
        </w:rPr>
        <w:t>由</w:t>
      </w:r>
      <w:r w:rsidRPr="00A9790A">
        <w:rPr>
          <w:rFonts w:eastAsia="宋体" w:hAnsi="Calibri" w:cs="Times New Roman" w:hint="eastAsia"/>
        </w:rPr>
        <w:t>2006</w:t>
      </w:r>
      <w:r w:rsidRPr="00A9790A">
        <w:rPr>
          <w:rFonts w:eastAsia="宋体" w:hAnsi="Calibri" w:cs="Times New Roman" w:hint="eastAsia"/>
        </w:rPr>
        <w:t>年的</w:t>
      </w:r>
      <w:r w:rsidRPr="00A9790A">
        <w:rPr>
          <w:rFonts w:eastAsia="宋体" w:hAnsi="Calibri" w:cs="Times New Roman" w:hint="eastAsia"/>
        </w:rPr>
        <w:t>6.18</w:t>
      </w:r>
      <w:r w:rsidRPr="00A9790A">
        <w:rPr>
          <w:rFonts w:eastAsia="宋体" w:hAnsi="Calibri" w:cs="Times New Roman" w:hint="eastAsia"/>
        </w:rPr>
        <w:t>亿美元增长为</w:t>
      </w:r>
      <w:r w:rsidRPr="00A9790A">
        <w:rPr>
          <w:rFonts w:eastAsia="宋体" w:hAnsi="Calibri" w:cs="Times New Roman" w:hint="eastAsia"/>
        </w:rPr>
        <w:t>2009</w:t>
      </w:r>
      <w:r w:rsidRPr="00A9790A">
        <w:rPr>
          <w:rFonts w:eastAsia="宋体" w:hAnsi="Calibri" w:cs="Times New Roman" w:hint="eastAsia"/>
        </w:rPr>
        <w:t>年的</w:t>
      </w:r>
      <w:r w:rsidRPr="00A9790A">
        <w:rPr>
          <w:rFonts w:eastAsia="宋体" w:hAnsi="Calibri" w:cs="Times New Roman" w:hint="eastAsia"/>
        </w:rPr>
        <w:t>8.25</w:t>
      </w:r>
      <w:r w:rsidRPr="00A9790A">
        <w:rPr>
          <w:rFonts w:eastAsia="宋体" w:hAnsi="Calibri" w:cs="Times New Roman" w:hint="eastAsia"/>
        </w:rPr>
        <w:t>亿美元，增长率为</w:t>
      </w:r>
      <w:r w:rsidRPr="00A9790A">
        <w:rPr>
          <w:rFonts w:eastAsia="宋体" w:hAnsi="Calibri" w:cs="Times New Roman" w:hint="eastAsia"/>
        </w:rPr>
        <w:t>33.50%</w:t>
      </w:r>
      <w:r w:rsidRPr="00A9790A">
        <w:rPr>
          <w:rFonts w:eastAsia="宋体" w:hAnsi="Calibri" w:cs="Times New Roman" w:hint="eastAsia"/>
        </w:rPr>
        <w:t>，但二者的年均增长率仅为</w:t>
      </w:r>
      <w:r w:rsidRPr="00A9790A">
        <w:rPr>
          <w:rFonts w:eastAsia="宋体" w:hAnsi="Calibri" w:cs="Times New Roman" w:hint="eastAsia"/>
        </w:rPr>
        <w:t>0.28%</w:t>
      </w:r>
      <w:r w:rsidRPr="00A9790A">
        <w:rPr>
          <w:rFonts w:eastAsia="宋体" w:hAnsi="Calibri" w:cs="Times New Roman" w:hint="eastAsia"/>
        </w:rPr>
        <w:t>和</w:t>
      </w:r>
      <w:r w:rsidRPr="00A9790A">
        <w:rPr>
          <w:rFonts w:eastAsia="宋体" w:hAnsi="Calibri" w:cs="Times New Roman" w:hint="eastAsia"/>
        </w:rPr>
        <w:t>2.26%</w:t>
      </w:r>
      <w:r w:rsidRPr="00A9790A">
        <w:rPr>
          <w:rFonts w:eastAsia="宋体" w:hAnsi="Calibri" w:cs="Times New Roman" w:hint="eastAsia"/>
        </w:rPr>
        <w:t>。第二阶段（</w:t>
      </w:r>
      <w:r w:rsidRPr="00A9790A">
        <w:rPr>
          <w:rFonts w:eastAsia="宋体" w:hAnsi="Calibri" w:cs="Times New Roman" w:hint="eastAsia"/>
        </w:rPr>
        <w:t>2010-2013</w:t>
      </w:r>
      <w:r w:rsidRPr="00A9790A">
        <w:rPr>
          <w:rFonts w:eastAsia="宋体" w:hAnsi="Calibri" w:cs="Times New Roman" w:hint="eastAsia"/>
        </w:rPr>
        <w:t>）为高位增长期。这一阶段，西部地区入境旅游市场蓬勃发展，入境旅游人数与入境旅游外汇</w:t>
      </w:r>
      <w:r w:rsidR="00D20F3A">
        <w:rPr>
          <w:rFonts w:eastAsia="宋体" w:hAnsi="Calibri" w:cs="Times New Roman" w:hint="eastAsia"/>
        </w:rPr>
        <w:t>收入</w:t>
      </w:r>
      <w:r w:rsidRPr="00A9790A">
        <w:rPr>
          <w:rFonts w:eastAsia="宋体" w:hAnsi="Calibri" w:cs="Times New Roman" w:hint="eastAsia"/>
        </w:rPr>
        <w:t>保持高位快速增长，入境旅游人数由</w:t>
      </w:r>
      <w:r w:rsidRPr="00A9790A">
        <w:rPr>
          <w:rFonts w:eastAsia="宋体" w:hAnsi="Calibri" w:cs="Times New Roman" w:hint="eastAsia"/>
        </w:rPr>
        <w:t>2010</w:t>
      </w:r>
      <w:r w:rsidRPr="00A9790A">
        <w:rPr>
          <w:rFonts w:eastAsia="宋体" w:hAnsi="Calibri" w:cs="Times New Roman" w:hint="eastAsia"/>
        </w:rPr>
        <w:t>年的</w:t>
      </w:r>
      <w:r w:rsidRPr="00A9790A">
        <w:rPr>
          <w:rFonts w:eastAsia="宋体" w:hAnsi="Calibri" w:cs="Times New Roman" w:hint="eastAsia"/>
        </w:rPr>
        <w:t>332.32</w:t>
      </w:r>
      <w:r w:rsidRPr="00A9790A">
        <w:rPr>
          <w:rFonts w:eastAsia="宋体" w:hAnsi="Calibri" w:cs="Times New Roman" w:hint="eastAsia"/>
        </w:rPr>
        <w:t>万人次快速增长为</w:t>
      </w:r>
      <w:r w:rsidRPr="00A9790A">
        <w:rPr>
          <w:rFonts w:eastAsia="宋体" w:hAnsi="Calibri" w:cs="Times New Roman" w:hint="eastAsia"/>
        </w:rPr>
        <w:t>2013</w:t>
      </w:r>
      <w:r w:rsidRPr="00A9790A">
        <w:rPr>
          <w:rFonts w:eastAsia="宋体" w:hAnsi="Calibri" w:cs="Times New Roman" w:hint="eastAsia"/>
        </w:rPr>
        <w:t>年的</w:t>
      </w:r>
      <w:r w:rsidRPr="00A9790A">
        <w:rPr>
          <w:rFonts w:eastAsia="宋体" w:hAnsi="Calibri" w:cs="Times New Roman" w:hint="eastAsia"/>
        </w:rPr>
        <w:t>525.69</w:t>
      </w:r>
      <w:r w:rsidRPr="00A9790A">
        <w:rPr>
          <w:rFonts w:eastAsia="宋体" w:hAnsi="Calibri" w:cs="Times New Roman" w:hint="eastAsia"/>
        </w:rPr>
        <w:t>万人次，增长率达</w:t>
      </w:r>
      <w:r w:rsidRPr="00A9790A">
        <w:rPr>
          <w:rFonts w:eastAsia="宋体" w:hAnsi="Calibri" w:cs="Times New Roman" w:hint="eastAsia"/>
        </w:rPr>
        <w:t>58.18%</w:t>
      </w:r>
      <w:r w:rsidRPr="00A9790A">
        <w:rPr>
          <w:rFonts w:eastAsia="宋体" w:hAnsi="Calibri" w:cs="Times New Roman" w:hint="eastAsia"/>
        </w:rPr>
        <w:t>，入境旅游消费有</w:t>
      </w:r>
      <w:r w:rsidRPr="00A9790A">
        <w:rPr>
          <w:rFonts w:eastAsia="宋体" w:hAnsi="Calibri" w:cs="Times New Roman" w:hint="eastAsia"/>
        </w:rPr>
        <w:t>2010</w:t>
      </w:r>
      <w:r w:rsidRPr="00A9790A">
        <w:rPr>
          <w:rFonts w:eastAsia="宋体" w:hAnsi="Calibri" w:cs="Times New Roman" w:hint="eastAsia"/>
        </w:rPr>
        <w:t>年的</w:t>
      </w:r>
      <w:r w:rsidRPr="00A9790A">
        <w:rPr>
          <w:rFonts w:eastAsia="宋体" w:hAnsi="Calibri" w:cs="Times New Roman" w:hint="eastAsia"/>
        </w:rPr>
        <w:t>9.39</w:t>
      </w:r>
      <w:r w:rsidRPr="00A9790A">
        <w:rPr>
          <w:rFonts w:eastAsia="宋体" w:hAnsi="Calibri" w:cs="Times New Roman" w:hint="eastAsia"/>
        </w:rPr>
        <w:t>亿美元增长为</w:t>
      </w:r>
      <w:r w:rsidRPr="00A9790A">
        <w:rPr>
          <w:rFonts w:eastAsia="宋体" w:hAnsi="Calibri" w:cs="Times New Roman" w:hint="eastAsia"/>
        </w:rPr>
        <w:t>2013</w:t>
      </w:r>
      <w:r w:rsidRPr="00A9790A">
        <w:rPr>
          <w:rFonts w:eastAsia="宋体" w:hAnsi="Calibri" w:cs="Times New Roman" w:hint="eastAsia"/>
        </w:rPr>
        <w:t>年的</w:t>
      </w:r>
      <w:r w:rsidRPr="00A9790A">
        <w:rPr>
          <w:rFonts w:eastAsia="宋体" w:hAnsi="Calibri" w:cs="Times New Roman" w:hint="eastAsia"/>
        </w:rPr>
        <w:t>22.01</w:t>
      </w:r>
      <w:r w:rsidRPr="00A9790A">
        <w:rPr>
          <w:rFonts w:eastAsia="宋体" w:hAnsi="Calibri" w:cs="Times New Roman" w:hint="eastAsia"/>
        </w:rPr>
        <w:t>亿美元，增长率为</w:t>
      </w:r>
      <w:r w:rsidRPr="00A9790A">
        <w:rPr>
          <w:rFonts w:eastAsia="宋体" w:hAnsi="Calibri" w:cs="Times New Roman" w:hint="eastAsia"/>
        </w:rPr>
        <w:t>134.</w:t>
      </w:r>
      <w:r w:rsidR="00554245">
        <w:rPr>
          <w:rFonts w:eastAsia="宋体" w:hAnsi="Calibri" w:cs="Times New Roman" w:hint="eastAsia"/>
        </w:rPr>
        <w:t>5</w:t>
      </w:r>
      <w:r w:rsidRPr="00A9790A">
        <w:rPr>
          <w:rFonts w:eastAsia="宋体" w:hAnsi="Calibri" w:cs="Times New Roman" w:hint="eastAsia"/>
        </w:rPr>
        <w:t>0%</w:t>
      </w:r>
      <w:r w:rsidRPr="00A9790A">
        <w:rPr>
          <w:rFonts w:eastAsia="宋体" w:hAnsi="Calibri" w:cs="Times New Roman" w:hint="eastAsia"/>
        </w:rPr>
        <w:t>，二者的年均增长率为</w:t>
      </w:r>
      <w:r w:rsidRPr="00A9790A">
        <w:rPr>
          <w:rFonts w:eastAsia="宋体" w:hAnsi="Calibri" w:cs="Times New Roman" w:hint="eastAsia"/>
        </w:rPr>
        <w:t>31.09%</w:t>
      </w:r>
      <w:r w:rsidRPr="00A9790A">
        <w:rPr>
          <w:rFonts w:eastAsia="宋体" w:hAnsi="Calibri" w:cs="Times New Roman" w:hint="eastAsia"/>
        </w:rPr>
        <w:t>与</w:t>
      </w:r>
      <w:r w:rsidRPr="00A9790A">
        <w:rPr>
          <w:rFonts w:eastAsia="宋体" w:hAnsi="Calibri" w:cs="Times New Roman" w:hint="eastAsia"/>
        </w:rPr>
        <w:t>28.52%</w:t>
      </w:r>
      <w:r w:rsidRPr="00A9790A">
        <w:rPr>
          <w:rFonts w:eastAsia="宋体" w:hAnsi="Calibri" w:cs="Times New Roman" w:hint="eastAsia"/>
        </w:rPr>
        <w:t>。第三个阶段为（</w:t>
      </w:r>
      <w:r w:rsidRPr="00A9790A">
        <w:rPr>
          <w:rFonts w:eastAsia="宋体" w:hAnsi="Calibri" w:cs="Times New Roman" w:hint="eastAsia"/>
        </w:rPr>
        <w:t>2014-2016</w:t>
      </w:r>
      <w:r w:rsidRPr="00A9790A">
        <w:rPr>
          <w:rFonts w:eastAsia="宋体" w:hAnsi="Calibri" w:cs="Times New Roman" w:hint="eastAsia"/>
        </w:rPr>
        <w:t>）波动增长期。这一阶段西部地区入境旅游市场变动较大，并出现了入境旅游人数与入境旅游</w:t>
      </w:r>
      <w:r w:rsidR="00554245">
        <w:rPr>
          <w:rFonts w:eastAsia="宋体" w:hAnsi="Calibri" w:cs="Times New Roman" w:hint="eastAsia"/>
        </w:rPr>
        <w:t>收入</w:t>
      </w:r>
      <w:r w:rsidRPr="00A9790A">
        <w:rPr>
          <w:rFonts w:eastAsia="宋体" w:hAnsi="Calibri" w:cs="Times New Roman" w:hint="eastAsia"/>
        </w:rPr>
        <w:t>变动不一致的状况，</w:t>
      </w:r>
      <w:r w:rsidRPr="00A9790A">
        <w:rPr>
          <w:rFonts w:eastAsia="宋体" w:hAnsi="Calibri" w:cs="Times New Roman" w:hint="eastAsia"/>
        </w:rPr>
        <w:t>2014</w:t>
      </w:r>
      <w:r w:rsidRPr="00A9790A">
        <w:rPr>
          <w:rFonts w:eastAsia="宋体" w:hAnsi="Calibri" w:cs="Times New Roman" w:hint="eastAsia"/>
        </w:rPr>
        <w:t>较</w:t>
      </w:r>
      <w:r w:rsidRPr="00A9790A">
        <w:rPr>
          <w:rFonts w:eastAsia="宋体" w:hAnsi="Calibri" w:cs="Times New Roman" w:hint="eastAsia"/>
        </w:rPr>
        <w:t>2013</w:t>
      </w:r>
      <w:r w:rsidRPr="00A9790A">
        <w:rPr>
          <w:rFonts w:eastAsia="宋体" w:hAnsi="Calibri" w:cs="Times New Roman" w:hint="eastAsia"/>
        </w:rPr>
        <w:t>年入境旅游人数年下降</w:t>
      </w:r>
      <w:r w:rsidRPr="00A9790A">
        <w:rPr>
          <w:rFonts w:eastAsia="宋体" w:hAnsi="Calibri" w:cs="Times New Roman" w:hint="eastAsia"/>
        </w:rPr>
        <w:t>18.28%</w:t>
      </w:r>
      <w:r w:rsidRPr="00A9790A">
        <w:rPr>
          <w:rFonts w:eastAsia="宋体" w:hAnsi="Calibri" w:cs="Times New Roman" w:hint="eastAsia"/>
        </w:rPr>
        <w:t>，但入境旅游消费却增长</w:t>
      </w:r>
      <w:r w:rsidRPr="00A9790A">
        <w:rPr>
          <w:rFonts w:eastAsia="宋体" w:hAnsi="Calibri" w:cs="Times New Roman" w:hint="eastAsia"/>
        </w:rPr>
        <w:t>5.09%</w:t>
      </w:r>
      <w:r w:rsidRPr="00A9790A">
        <w:rPr>
          <w:rFonts w:eastAsia="宋体" w:hAnsi="Calibri" w:cs="Times New Roman" w:hint="eastAsia"/>
        </w:rPr>
        <w:t>，</w:t>
      </w:r>
      <w:r w:rsidRPr="00A9790A">
        <w:rPr>
          <w:rFonts w:eastAsia="宋体" w:hAnsi="Calibri" w:cs="Times New Roman" w:hint="eastAsia"/>
        </w:rPr>
        <w:t>2015</w:t>
      </w:r>
      <w:r w:rsidRPr="00A9790A">
        <w:rPr>
          <w:rFonts w:eastAsia="宋体" w:hAnsi="Calibri" w:cs="Times New Roman" w:hint="eastAsia"/>
        </w:rPr>
        <w:t>年较</w:t>
      </w:r>
      <w:r w:rsidRPr="00A9790A">
        <w:rPr>
          <w:rFonts w:eastAsia="宋体" w:hAnsi="Calibri" w:cs="Times New Roman" w:hint="eastAsia"/>
        </w:rPr>
        <w:t>2014</w:t>
      </w:r>
      <w:r w:rsidRPr="00A9790A">
        <w:rPr>
          <w:rFonts w:eastAsia="宋体" w:hAnsi="Calibri" w:cs="Times New Roman" w:hint="eastAsia"/>
        </w:rPr>
        <w:t>年入境旅游人数增长</w:t>
      </w:r>
      <w:r w:rsidRPr="00A9790A">
        <w:rPr>
          <w:rFonts w:eastAsia="宋体" w:hAnsi="Calibri" w:cs="Times New Roman" w:hint="eastAsia"/>
        </w:rPr>
        <w:t>11.08%</w:t>
      </w:r>
      <w:r w:rsidRPr="00A9790A">
        <w:rPr>
          <w:rFonts w:eastAsia="宋体" w:hAnsi="Calibri" w:cs="Times New Roman" w:hint="eastAsia"/>
        </w:rPr>
        <w:t>，入境旅游消费却下降</w:t>
      </w:r>
      <w:r w:rsidRPr="00A9790A">
        <w:rPr>
          <w:rFonts w:eastAsia="宋体" w:hAnsi="Calibri" w:cs="Times New Roman" w:hint="eastAsia"/>
        </w:rPr>
        <w:t>14.96%</w:t>
      </w:r>
      <w:r w:rsidRPr="00A9790A">
        <w:rPr>
          <w:rFonts w:eastAsia="宋体" w:hAnsi="Calibri" w:cs="Times New Roman" w:hint="eastAsia"/>
        </w:rPr>
        <w:t>，这可能与</w:t>
      </w:r>
      <w:r w:rsidRPr="00A9790A">
        <w:rPr>
          <w:rFonts w:eastAsia="宋体" w:hAnsi="Calibri" w:cs="Times New Roman" w:hint="eastAsia"/>
        </w:rPr>
        <w:t>2014</w:t>
      </w:r>
      <w:r w:rsidRPr="00A9790A">
        <w:rPr>
          <w:rFonts w:eastAsia="宋体" w:hAnsi="Calibri" w:cs="Times New Roman" w:hint="eastAsia"/>
        </w:rPr>
        <w:t>与</w:t>
      </w:r>
      <w:r w:rsidRPr="00A9790A">
        <w:rPr>
          <w:rFonts w:eastAsia="宋体" w:hAnsi="Calibri" w:cs="Times New Roman" w:hint="eastAsia"/>
        </w:rPr>
        <w:t>2015</w:t>
      </w:r>
      <w:r w:rsidRPr="00A9790A">
        <w:rPr>
          <w:rFonts w:eastAsia="宋体" w:hAnsi="Calibri" w:cs="Times New Roman" w:hint="eastAsia"/>
        </w:rPr>
        <w:t>年西部地区入境旅游产品结构</w:t>
      </w:r>
      <w:r w:rsidR="00554245">
        <w:rPr>
          <w:rFonts w:eastAsia="宋体" w:hAnsi="Calibri" w:cs="Times New Roman" w:hint="eastAsia"/>
        </w:rPr>
        <w:t>的调整</w:t>
      </w:r>
      <w:r w:rsidRPr="00A9790A">
        <w:rPr>
          <w:rFonts w:eastAsia="宋体" w:hAnsi="Calibri" w:cs="Times New Roman" w:hint="eastAsia"/>
        </w:rPr>
        <w:t>等有关，该阶段入境旅游人数与消费年均增长率又回落为</w:t>
      </w:r>
      <w:r w:rsidRPr="00A9790A">
        <w:rPr>
          <w:rFonts w:eastAsia="宋体" w:hAnsi="Calibri" w:cs="Times New Roman" w:hint="eastAsia"/>
        </w:rPr>
        <w:t>3.24%</w:t>
      </w:r>
      <w:r w:rsidRPr="00A9790A">
        <w:rPr>
          <w:rFonts w:eastAsia="宋体" w:hAnsi="Calibri" w:cs="Times New Roman" w:hint="eastAsia"/>
        </w:rPr>
        <w:t>和</w:t>
      </w:r>
      <w:r w:rsidRPr="00A9790A">
        <w:rPr>
          <w:rFonts w:eastAsia="宋体" w:hAnsi="Calibri" w:cs="Times New Roman" w:hint="eastAsia"/>
        </w:rPr>
        <w:t>8. 83%</w:t>
      </w:r>
      <w:r w:rsidRPr="00A9790A">
        <w:rPr>
          <w:rFonts w:eastAsia="宋体" w:hAnsi="Calibri" w:cs="Times New Roman" w:hint="eastAsia"/>
        </w:rPr>
        <w:t>。</w:t>
      </w:r>
    </w:p>
    <w:p w:rsidR="00AF0AC1" w:rsidRPr="00A9790A" w:rsidRDefault="00AF0AC1" w:rsidP="00AF0AC1">
      <w:pPr>
        <w:pStyle w:val="a5"/>
        <w:ind w:left="360" w:firstLineChars="0" w:firstLine="0"/>
        <w:rPr>
          <w:rFonts w:eastAsia="宋体" w:hAnsi="Calibri" w:cs="Times New Roman"/>
        </w:rPr>
      </w:pPr>
    </w:p>
    <w:p w:rsidR="00AF0AC1" w:rsidRPr="00AF0AC1" w:rsidRDefault="00AF0AC1" w:rsidP="00730F3D">
      <w:pPr>
        <w:pStyle w:val="a5"/>
        <w:ind w:left="360" w:firstLineChars="0" w:firstLine="0"/>
        <w:jc w:val="left"/>
        <w:rPr>
          <w:rFonts w:eastAsia="宋体" w:hAnsi="Calibri" w:cs="Times New Roman"/>
        </w:rPr>
      </w:pPr>
      <w:r>
        <w:rPr>
          <w:noProof/>
        </w:rPr>
        <w:drawing>
          <wp:inline distT="0" distB="0" distL="0" distR="0">
            <wp:extent cx="5210175" cy="3114675"/>
            <wp:effectExtent l="0" t="0" r="0" b="0"/>
            <wp:docPr id="7"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0AC1" w:rsidRDefault="00E70B82" w:rsidP="00E70B82">
      <w:pPr>
        <w:pStyle w:val="a5"/>
        <w:ind w:left="420" w:firstLineChars="0" w:firstLine="0"/>
        <w:jc w:val="center"/>
        <w:rPr>
          <w:b/>
        </w:rPr>
      </w:pPr>
      <w:r w:rsidRPr="00C54A23">
        <w:rPr>
          <w:rFonts w:hint="eastAsia"/>
          <w:b/>
        </w:rPr>
        <w:t>图</w:t>
      </w:r>
      <w:r w:rsidRPr="00C54A23">
        <w:rPr>
          <w:rFonts w:hint="eastAsia"/>
          <w:b/>
        </w:rPr>
        <w:t>1  2006-2016</w:t>
      </w:r>
      <w:r w:rsidRPr="00C54A23">
        <w:rPr>
          <w:rFonts w:hint="eastAsia"/>
          <w:b/>
        </w:rPr>
        <w:t>年西部地区入境旅游人数与入境旅游收入变化</w:t>
      </w:r>
    </w:p>
    <w:p w:rsidR="00050B35" w:rsidRPr="00050B35" w:rsidRDefault="00050B35" w:rsidP="00050B35">
      <w:pPr>
        <w:ind w:firstLineChars="200" w:firstLine="420"/>
        <w:jc w:val="left"/>
        <w:rPr>
          <w:rFonts w:ascii="仿宋" w:eastAsia="仿宋" w:hAnsi="仿宋"/>
        </w:rPr>
      </w:pPr>
      <w:r w:rsidRPr="00A36F9A">
        <w:rPr>
          <w:rFonts w:ascii="仿宋" w:eastAsia="仿宋" w:hAnsi="仿宋" w:hint="eastAsia"/>
        </w:rPr>
        <w:t>数据来源：根据2006-201</w:t>
      </w:r>
      <w:r w:rsidR="00B56D20">
        <w:rPr>
          <w:rFonts w:ascii="仿宋" w:eastAsia="仿宋" w:hAnsi="仿宋" w:hint="eastAsia"/>
        </w:rPr>
        <w:t>6</w:t>
      </w:r>
      <w:r w:rsidRPr="00A36F9A">
        <w:rPr>
          <w:rFonts w:ascii="仿宋" w:eastAsia="仿宋" w:hAnsi="仿宋" w:hint="eastAsia"/>
        </w:rPr>
        <w:t>年</w:t>
      </w:r>
      <w:r>
        <w:rPr>
          <w:rFonts w:ascii="仿宋" w:eastAsia="仿宋" w:hAnsi="仿宋" w:hint="eastAsia"/>
        </w:rPr>
        <w:t>西部</w:t>
      </w:r>
      <w:r w:rsidRPr="00A36F9A">
        <w:rPr>
          <w:rFonts w:ascii="仿宋" w:eastAsia="仿宋" w:hAnsi="仿宋" w:hint="eastAsia"/>
        </w:rPr>
        <w:t>地区</w:t>
      </w:r>
      <w:r>
        <w:rPr>
          <w:rFonts w:ascii="仿宋" w:eastAsia="仿宋" w:hAnsi="仿宋" w:hint="eastAsia"/>
        </w:rPr>
        <w:t>各个省份</w:t>
      </w:r>
      <w:r w:rsidRPr="00A36F9A">
        <w:rPr>
          <w:rFonts w:ascii="仿宋" w:eastAsia="仿宋" w:hAnsi="仿宋" w:hint="eastAsia"/>
        </w:rPr>
        <w:t>统计年鉴计算得出。</w:t>
      </w:r>
    </w:p>
    <w:p w:rsidR="00E201B9" w:rsidRPr="00B34920" w:rsidRDefault="002C7D10" w:rsidP="007E5BE2">
      <w:pPr>
        <w:spacing w:line="360" w:lineRule="auto"/>
        <w:ind w:firstLineChars="196" w:firstLine="413"/>
        <w:outlineLvl w:val="0"/>
        <w:rPr>
          <w:rFonts w:eastAsia="宋体" w:hAnsi="Calibri" w:cs="Times New Roman"/>
          <w:b/>
        </w:rPr>
      </w:pPr>
      <w:r>
        <w:rPr>
          <w:rFonts w:eastAsia="宋体" w:hAnsi="Calibri" w:cs="Times New Roman" w:hint="eastAsia"/>
          <w:b/>
        </w:rPr>
        <w:t>（</w:t>
      </w:r>
      <w:r>
        <w:rPr>
          <w:rFonts w:eastAsia="宋体" w:hAnsi="Calibri" w:cs="Times New Roman" w:hint="eastAsia"/>
          <w:b/>
        </w:rPr>
        <w:t>2</w:t>
      </w:r>
      <w:r>
        <w:rPr>
          <w:rFonts w:eastAsia="宋体" w:hAnsi="Calibri" w:cs="Times New Roman" w:hint="eastAsia"/>
          <w:b/>
        </w:rPr>
        <w:t>）</w:t>
      </w:r>
      <w:r w:rsidR="00E70B82" w:rsidRPr="00B34920">
        <w:rPr>
          <w:rFonts w:eastAsia="宋体" w:hAnsi="Calibri" w:cs="Times New Roman" w:hint="eastAsia"/>
          <w:b/>
        </w:rPr>
        <w:t>西部地区入境旅游增长率分析</w:t>
      </w:r>
    </w:p>
    <w:p w:rsidR="00E70B82" w:rsidRDefault="002C7D10" w:rsidP="007E5BE2">
      <w:pPr>
        <w:spacing w:line="360" w:lineRule="auto"/>
        <w:ind w:firstLineChars="200" w:firstLine="420"/>
      </w:pPr>
      <w:r>
        <w:rPr>
          <w:rFonts w:hint="eastAsia"/>
        </w:rPr>
        <w:t>1</w:t>
      </w:r>
      <w:r>
        <w:rPr>
          <w:rFonts w:hint="eastAsia"/>
        </w:rPr>
        <w:t>）</w:t>
      </w:r>
      <w:r w:rsidR="00E70B82">
        <w:rPr>
          <w:rFonts w:hint="eastAsia"/>
        </w:rPr>
        <w:t>增长率演变分析</w:t>
      </w:r>
    </w:p>
    <w:p w:rsidR="003B7EF5" w:rsidRPr="00A34AC4" w:rsidRDefault="000322D8" w:rsidP="00A34AC4">
      <w:pPr>
        <w:spacing w:line="360" w:lineRule="auto"/>
        <w:ind w:firstLineChars="200" w:firstLine="420"/>
      </w:pPr>
      <w:r>
        <w:rPr>
          <w:rFonts w:hint="eastAsia"/>
        </w:rPr>
        <w:t>从入境旅游人数的增长率来看，如表</w:t>
      </w:r>
      <w:r>
        <w:rPr>
          <w:rFonts w:hint="eastAsia"/>
        </w:rPr>
        <w:t>1</w:t>
      </w:r>
      <w:r>
        <w:rPr>
          <w:rFonts w:hint="eastAsia"/>
        </w:rPr>
        <w:t>所示，</w:t>
      </w:r>
      <w:r w:rsidR="00AE0D95">
        <w:rPr>
          <w:rFonts w:hint="eastAsia"/>
        </w:rPr>
        <w:t>除</w:t>
      </w:r>
      <w:r w:rsidR="00871477">
        <w:rPr>
          <w:rFonts w:hint="eastAsia"/>
        </w:rPr>
        <w:t>华东与</w:t>
      </w:r>
      <w:r w:rsidR="00AE0D95">
        <w:rPr>
          <w:rFonts w:hint="eastAsia"/>
        </w:rPr>
        <w:t>西部地区外，</w:t>
      </w:r>
      <w:r w:rsidR="00901776">
        <w:rPr>
          <w:rFonts w:hint="eastAsia"/>
        </w:rPr>
        <w:t>2006-2016</w:t>
      </w:r>
      <w:r w:rsidR="00901776">
        <w:rPr>
          <w:rFonts w:hint="eastAsia"/>
        </w:rPr>
        <w:t>年全国</w:t>
      </w:r>
      <w:r w:rsidR="00AE0D95">
        <w:rPr>
          <w:rFonts w:hint="eastAsia"/>
        </w:rPr>
        <w:t>、华北</w:t>
      </w:r>
      <w:r w:rsidR="00871477">
        <w:rPr>
          <w:rFonts w:hint="eastAsia"/>
        </w:rPr>
        <w:t>和</w:t>
      </w:r>
      <w:r w:rsidR="00AE0D95">
        <w:rPr>
          <w:rFonts w:hint="eastAsia"/>
        </w:rPr>
        <w:t>华南</w:t>
      </w:r>
      <w:r w:rsidR="00A633A4">
        <w:rPr>
          <w:rFonts w:hint="eastAsia"/>
        </w:rPr>
        <w:t>地区</w:t>
      </w:r>
      <w:r w:rsidR="00901776">
        <w:rPr>
          <w:rFonts w:hint="eastAsia"/>
        </w:rPr>
        <w:t>入境旅游人数的增长率呈波动下降趋势</w:t>
      </w:r>
      <w:r w:rsidR="004E16A3">
        <w:rPr>
          <w:rFonts w:hint="eastAsia"/>
        </w:rPr>
        <w:t>。</w:t>
      </w:r>
      <w:r w:rsidR="00A633A4">
        <w:rPr>
          <w:rFonts w:hint="eastAsia"/>
        </w:rPr>
        <w:t>全国入境旅游人数增长率由</w:t>
      </w:r>
      <w:r w:rsidR="00A633A4">
        <w:rPr>
          <w:rFonts w:hint="eastAsia"/>
        </w:rPr>
        <w:t>2006</w:t>
      </w:r>
      <w:r w:rsidR="00A633A4">
        <w:rPr>
          <w:rFonts w:hint="eastAsia"/>
        </w:rPr>
        <w:t>年的</w:t>
      </w:r>
      <w:r w:rsidR="00A633A4">
        <w:rPr>
          <w:rFonts w:hint="eastAsia"/>
        </w:rPr>
        <w:t>3.9</w:t>
      </w:r>
      <w:r w:rsidR="00BC68E5">
        <w:rPr>
          <w:rFonts w:hint="eastAsia"/>
        </w:rPr>
        <w:t>0</w:t>
      </w:r>
      <w:r w:rsidR="00A633A4">
        <w:rPr>
          <w:rFonts w:hint="eastAsia"/>
        </w:rPr>
        <w:t>%</w:t>
      </w:r>
      <w:r w:rsidR="00A633A4">
        <w:rPr>
          <w:rFonts w:hint="eastAsia"/>
        </w:rPr>
        <w:t>下降为</w:t>
      </w:r>
      <w:r w:rsidR="00A633A4">
        <w:rPr>
          <w:rFonts w:hint="eastAsia"/>
        </w:rPr>
        <w:t>2016</w:t>
      </w:r>
      <w:r w:rsidR="00A633A4">
        <w:rPr>
          <w:rFonts w:hint="eastAsia"/>
        </w:rPr>
        <w:t>年的</w:t>
      </w:r>
      <w:r w:rsidR="00A633A4">
        <w:rPr>
          <w:rFonts w:hint="eastAsia"/>
        </w:rPr>
        <w:t>3.50%</w:t>
      </w:r>
      <w:r w:rsidR="00C72B80">
        <w:rPr>
          <w:rFonts w:hint="eastAsia"/>
        </w:rPr>
        <w:t>；</w:t>
      </w:r>
      <w:r w:rsidR="004E16A3">
        <w:rPr>
          <w:rFonts w:hint="eastAsia"/>
        </w:rPr>
        <w:t>华北地区入境旅游增长率</w:t>
      </w:r>
      <w:r w:rsidR="00014516">
        <w:rPr>
          <w:rFonts w:hint="eastAsia"/>
        </w:rPr>
        <w:t>由</w:t>
      </w:r>
      <w:r w:rsidR="004E16A3">
        <w:rPr>
          <w:rFonts w:hint="eastAsia"/>
        </w:rPr>
        <w:t>2006</w:t>
      </w:r>
      <w:r w:rsidR="004E16A3">
        <w:rPr>
          <w:rFonts w:hint="eastAsia"/>
        </w:rPr>
        <w:t>年的</w:t>
      </w:r>
      <w:r w:rsidR="00014516">
        <w:rPr>
          <w:rFonts w:hint="eastAsia"/>
        </w:rPr>
        <w:t>7.50%</w:t>
      </w:r>
      <w:r w:rsidR="00014516">
        <w:rPr>
          <w:rFonts w:hint="eastAsia"/>
        </w:rPr>
        <w:t>下降为</w:t>
      </w:r>
      <w:r w:rsidR="00014516">
        <w:rPr>
          <w:rFonts w:hint="eastAsia"/>
        </w:rPr>
        <w:t>2016</w:t>
      </w:r>
      <w:r w:rsidR="00014516">
        <w:rPr>
          <w:rFonts w:hint="eastAsia"/>
        </w:rPr>
        <w:t>年的</w:t>
      </w:r>
      <w:r w:rsidR="00014516">
        <w:rPr>
          <w:rFonts w:hint="eastAsia"/>
        </w:rPr>
        <w:t>-0.82%</w:t>
      </w:r>
      <w:r w:rsidR="00C72B80">
        <w:rPr>
          <w:rFonts w:hint="eastAsia"/>
        </w:rPr>
        <w:t>；</w:t>
      </w:r>
      <w:r w:rsidR="00014516">
        <w:rPr>
          <w:rFonts w:hint="eastAsia"/>
        </w:rPr>
        <w:t>华南地区的入境旅游增长率由</w:t>
      </w:r>
      <w:r w:rsidR="00014516">
        <w:rPr>
          <w:rFonts w:hint="eastAsia"/>
        </w:rPr>
        <w:t>2006</w:t>
      </w:r>
      <w:r w:rsidR="00014516">
        <w:rPr>
          <w:rFonts w:hint="eastAsia"/>
        </w:rPr>
        <w:t>年的</w:t>
      </w:r>
      <w:r w:rsidR="003252EE">
        <w:rPr>
          <w:rFonts w:hint="eastAsia"/>
        </w:rPr>
        <w:t>31.90%</w:t>
      </w:r>
      <w:r w:rsidR="003252EE">
        <w:rPr>
          <w:rFonts w:hint="eastAsia"/>
        </w:rPr>
        <w:t>下降为</w:t>
      </w:r>
      <w:r w:rsidR="003252EE">
        <w:rPr>
          <w:rFonts w:hint="eastAsia"/>
        </w:rPr>
        <w:t>2016</w:t>
      </w:r>
      <w:r w:rsidR="003252EE">
        <w:rPr>
          <w:rFonts w:hint="eastAsia"/>
        </w:rPr>
        <w:t>年的</w:t>
      </w:r>
      <w:r w:rsidR="003252EE">
        <w:rPr>
          <w:rFonts w:hint="eastAsia"/>
        </w:rPr>
        <w:t>13.03%</w:t>
      </w:r>
      <w:r w:rsidR="00C72B80">
        <w:rPr>
          <w:rFonts w:hint="eastAsia"/>
        </w:rPr>
        <w:t>；</w:t>
      </w:r>
      <w:r w:rsidR="003252EE">
        <w:rPr>
          <w:rFonts w:hint="eastAsia"/>
        </w:rPr>
        <w:t>华</w:t>
      </w:r>
      <w:r w:rsidR="003252EE">
        <w:rPr>
          <w:rFonts w:hint="eastAsia"/>
        </w:rPr>
        <w:lastRenderedPageBreak/>
        <w:t>东地区的</w:t>
      </w:r>
      <w:r w:rsidR="00BC68E5">
        <w:rPr>
          <w:rFonts w:hint="eastAsia"/>
        </w:rPr>
        <w:t>入境</w:t>
      </w:r>
      <w:r w:rsidR="003252EE">
        <w:rPr>
          <w:rFonts w:hint="eastAsia"/>
        </w:rPr>
        <w:t>旅游增长率由</w:t>
      </w:r>
      <w:r w:rsidR="003252EE">
        <w:rPr>
          <w:rFonts w:hint="eastAsia"/>
        </w:rPr>
        <w:t>2006</w:t>
      </w:r>
      <w:r w:rsidR="003252EE">
        <w:rPr>
          <w:rFonts w:hint="eastAsia"/>
        </w:rPr>
        <w:t>年的</w:t>
      </w:r>
      <w:r w:rsidR="003252EE">
        <w:rPr>
          <w:rFonts w:hint="eastAsia"/>
        </w:rPr>
        <w:t>6.01%</w:t>
      </w:r>
      <w:r w:rsidR="00871477">
        <w:rPr>
          <w:rFonts w:hint="eastAsia"/>
        </w:rPr>
        <w:t>上升</w:t>
      </w:r>
      <w:r w:rsidR="003252EE">
        <w:rPr>
          <w:rFonts w:hint="eastAsia"/>
        </w:rPr>
        <w:t>为</w:t>
      </w:r>
      <w:r w:rsidR="00871477">
        <w:rPr>
          <w:rFonts w:hint="eastAsia"/>
        </w:rPr>
        <w:t>2016</w:t>
      </w:r>
      <w:r w:rsidR="00871477">
        <w:rPr>
          <w:rFonts w:hint="eastAsia"/>
        </w:rPr>
        <w:t>年的</w:t>
      </w:r>
      <w:r w:rsidR="00871477">
        <w:rPr>
          <w:rFonts w:hint="eastAsia"/>
        </w:rPr>
        <w:t>6.77%</w:t>
      </w:r>
      <w:r w:rsidR="00871477">
        <w:rPr>
          <w:rFonts w:hint="eastAsia"/>
        </w:rPr>
        <w:t>，但上升幅度相对较小</w:t>
      </w:r>
      <w:r w:rsidR="00C72B80">
        <w:rPr>
          <w:rFonts w:hint="eastAsia"/>
        </w:rPr>
        <w:t>；西部地区的入境旅游人数增长率</w:t>
      </w:r>
      <w:r w:rsidR="00C72B80">
        <w:rPr>
          <w:rFonts w:hint="eastAsia"/>
        </w:rPr>
        <w:t>2006</w:t>
      </w:r>
      <w:r w:rsidR="00C72B80">
        <w:rPr>
          <w:rFonts w:hint="eastAsia"/>
        </w:rPr>
        <w:t>年在各国</w:t>
      </w:r>
      <w:r w:rsidR="000851C5">
        <w:rPr>
          <w:rFonts w:hint="eastAsia"/>
        </w:rPr>
        <w:t>各个</w:t>
      </w:r>
      <w:r w:rsidR="00C72B80">
        <w:rPr>
          <w:rFonts w:hint="eastAsia"/>
        </w:rPr>
        <w:t>区域中最低，仅为</w:t>
      </w:r>
      <w:r w:rsidR="00C72B80">
        <w:rPr>
          <w:rFonts w:hint="eastAsia"/>
        </w:rPr>
        <w:t>5.36%</w:t>
      </w:r>
      <w:r w:rsidR="00C72B80">
        <w:rPr>
          <w:rFonts w:hint="eastAsia"/>
        </w:rPr>
        <w:t>，</w:t>
      </w:r>
      <w:r w:rsidR="0063781F">
        <w:rPr>
          <w:rFonts w:hint="eastAsia"/>
        </w:rPr>
        <w:t>但经过</w:t>
      </w:r>
      <w:r w:rsidR="0063781F">
        <w:rPr>
          <w:rFonts w:hint="eastAsia"/>
        </w:rPr>
        <w:t>10</w:t>
      </w:r>
      <w:r w:rsidR="0063781F">
        <w:rPr>
          <w:rFonts w:hint="eastAsia"/>
        </w:rPr>
        <w:t>年的发展，自</w:t>
      </w:r>
      <w:r w:rsidR="0063781F">
        <w:rPr>
          <w:rFonts w:hint="eastAsia"/>
        </w:rPr>
        <w:t>2015</w:t>
      </w:r>
      <w:r w:rsidR="0063781F">
        <w:rPr>
          <w:rFonts w:hint="eastAsia"/>
        </w:rPr>
        <w:t>年开始，西部地区入境旅游人数增长率开始大幅度上升，</w:t>
      </w:r>
      <w:r w:rsidR="00A34AC4">
        <w:rPr>
          <w:rFonts w:hint="eastAsia"/>
        </w:rPr>
        <w:t>至</w:t>
      </w:r>
      <w:r w:rsidR="00A34AC4">
        <w:rPr>
          <w:rFonts w:hint="eastAsia"/>
        </w:rPr>
        <w:t>2016</w:t>
      </w:r>
      <w:r w:rsidR="00A34AC4">
        <w:rPr>
          <w:rFonts w:hint="eastAsia"/>
        </w:rPr>
        <w:t>年</w:t>
      </w:r>
      <w:r w:rsidR="0063781F">
        <w:rPr>
          <w:rFonts w:hint="eastAsia"/>
        </w:rPr>
        <w:t>上升至</w:t>
      </w:r>
      <w:r w:rsidR="0063781F">
        <w:rPr>
          <w:rFonts w:hint="eastAsia"/>
        </w:rPr>
        <w:t>16.93%</w:t>
      </w:r>
      <w:r w:rsidR="00A34AC4">
        <w:rPr>
          <w:rFonts w:hint="eastAsia"/>
        </w:rPr>
        <w:t>，成为全国入境旅游人数增长最为迅速的区域。</w:t>
      </w:r>
    </w:p>
    <w:p w:rsidR="00E70B82" w:rsidRPr="003B7EF5" w:rsidRDefault="00E70B82" w:rsidP="00A34AC4">
      <w:pPr>
        <w:spacing w:line="360" w:lineRule="auto"/>
        <w:jc w:val="center"/>
        <w:rPr>
          <w:b/>
        </w:rPr>
      </w:pPr>
      <w:r w:rsidRPr="003B7EF5">
        <w:rPr>
          <w:rFonts w:hint="eastAsia"/>
          <w:b/>
        </w:rPr>
        <w:t>表</w:t>
      </w:r>
      <w:r w:rsidRPr="003B7EF5">
        <w:rPr>
          <w:b/>
        </w:rPr>
        <w:t xml:space="preserve">1 </w:t>
      </w:r>
      <w:r w:rsidR="003B7EF5" w:rsidRPr="003B7EF5">
        <w:rPr>
          <w:rFonts w:hint="eastAsia"/>
          <w:b/>
        </w:rPr>
        <w:t xml:space="preserve"> </w:t>
      </w:r>
      <w:r w:rsidRPr="003B7EF5">
        <w:rPr>
          <w:b/>
        </w:rPr>
        <w:t>2006-2016</w:t>
      </w:r>
      <w:r w:rsidRPr="003B7EF5">
        <w:rPr>
          <w:b/>
        </w:rPr>
        <w:t>年不同地区入境旅游人数增长率对比</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16"/>
        <w:gridCol w:w="616"/>
        <w:gridCol w:w="696"/>
        <w:gridCol w:w="616"/>
        <w:gridCol w:w="616"/>
        <w:gridCol w:w="616"/>
        <w:gridCol w:w="616"/>
        <w:gridCol w:w="696"/>
        <w:gridCol w:w="696"/>
        <w:gridCol w:w="616"/>
        <w:gridCol w:w="616"/>
      </w:tblGrid>
      <w:tr w:rsidR="00E70B82" w:rsidRPr="00C430A4" w:rsidTr="00924004">
        <w:trPr>
          <w:trHeight w:val="270"/>
        </w:trPr>
        <w:tc>
          <w:tcPr>
            <w:tcW w:w="0" w:type="auto"/>
            <w:tcBorders>
              <w:top w:val="single" w:sz="18" w:space="0" w:color="auto"/>
              <w:bottom w:val="single" w:sz="12" w:space="0" w:color="auto"/>
            </w:tcBorders>
            <w:vAlign w:val="center"/>
          </w:tcPr>
          <w:p w:rsidR="00C430A4" w:rsidRDefault="00E70B82" w:rsidP="00A34AC4">
            <w:pPr>
              <w:widowControl/>
              <w:spacing w:line="360" w:lineRule="auto"/>
              <w:jc w:val="center"/>
              <w:rPr>
                <w:rFonts w:ascii="宋体" w:eastAsia="宋体" w:hAnsi="宋体"/>
                <w:color w:val="000000"/>
                <w:sz w:val="16"/>
                <w:szCs w:val="10"/>
              </w:rPr>
            </w:pPr>
            <w:r w:rsidRPr="00C430A4">
              <w:rPr>
                <w:rFonts w:ascii="宋体" w:eastAsia="宋体" w:hAnsi="宋体" w:hint="eastAsia"/>
                <w:color w:val="000000"/>
                <w:sz w:val="16"/>
                <w:szCs w:val="10"/>
              </w:rPr>
              <w:t>入境旅游人数</w:t>
            </w:r>
          </w:p>
          <w:p w:rsidR="00E70B82" w:rsidRPr="00C430A4" w:rsidRDefault="00E70B82" w:rsidP="00A34AC4">
            <w:pPr>
              <w:widowControl/>
              <w:spacing w:line="360" w:lineRule="auto"/>
              <w:jc w:val="center"/>
              <w:rPr>
                <w:rFonts w:ascii="宋体" w:eastAsia="宋体" w:hAnsi="宋体"/>
                <w:color w:val="000000"/>
                <w:sz w:val="16"/>
                <w:szCs w:val="10"/>
              </w:rPr>
            </w:pPr>
            <w:r w:rsidRPr="00C430A4">
              <w:rPr>
                <w:rFonts w:ascii="宋体" w:eastAsia="宋体" w:hAnsi="宋体" w:hint="eastAsia"/>
                <w:color w:val="000000"/>
                <w:sz w:val="16"/>
                <w:szCs w:val="10"/>
              </w:rPr>
              <w:t>增长率(</w:t>
            </w:r>
            <w:r w:rsidRPr="00C430A4">
              <w:rPr>
                <w:rFonts w:ascii="宋体" w:eastAsia="宋体" w:hAnsi="宋体"/>
                <w:color w:val="000000"/>
                <w:sz w:val="16"/>
                <w:szCs w:val="10"/>
              </w:rPr>
              <w:t>%</w:t>
            </w:r>
            <w:r w:rsidRPr="00C430A4">
              <w:rPr>
                <w:rFonts w:ascii="宋体" w:eastAsia="宋体" w:hAnsi="宋体" w:hint="eastAsia"/>
                <w:color w:val="000000"/>
                <w:sz w:val="16"/>
                <w:szCs w:val="10"/>
              </w:rPr>
              <w:t>)</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2006</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2007</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2008</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2009</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2010</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2011</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2012</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2013</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2014</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2015</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2016</w:t>
            </w:r>
          </w:p>
        </w:tc>
      </w:tr>
      <w:tr w:rsidR="00E70B82" w:rsidRPr="00C430A4" w:rsidTr="00924004">
        <w:trPr>
          <w:trHeight w:val="270"/>
        </w:trPr>
        <w:tc>
          <w:tcPr>
            <w:tcW w:w="0" w:type="auto"/>
            <w:tcBorders>
              <w:top w:val="single" w:sz="12" w:space="0" w:color="auto"/>
            </w:tcBorders>
            <w:vAlign w:val="center"/>
          </w:tcPr>
          <w:p w:rsidR="00E70B82" w:rsidRPr="00C430A4" w:rsidRDefault="00E70B82" w:rsidP="00A34AC4">
            <w:pPr>
              <w:spacing w:line="360" w:lineRule="auto"/>
              <w:jc w:val="center"/>
              <w:rPr>
                <w:rFonts w:ascii="宋体" w:eastAsia="宋体" w:hAnsi="宋体"/>
                <w:color w:val="000000"/>
                <w:sz w:val="16"/>
                <w:szCs w:val="10"/>
              </w:rPr>
            </w:pPr>
            <w:r w:rsidRPr="00C430A4">
              <w:rPr>
                <w:rFonts w:ascii="宋体" w:eastAsia="宋体" w:hAnsi="宋体" w:hint="eastAsia"/>
                <w:color w:val="000000"/>
                <w:sz w:val="16"/>
                <w:szCs w:val="10"/>
              </w:rPr>
              <w:t>全国</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3.90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5.50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-1.40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-2.70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5.80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1.20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-2.20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-2.50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-0.45</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4.10</w:t>
            </w:r>
          </w:p>
        </w:tc>
        <w:tc>
          <w:tcPr>
            <w:tcW w:w="0" w:type="auto"/>
            <w:tcBorders>
              <w:top w:val="single" w:sz="12"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3.50</w:t>
            </w:r>
          </w:p>
        </w:tc>
      </w:tr>
      <w:tr w:rsidR="00E70B82" w:rsidRPr="00C430A4" w:rsidTr="00924004">
        <w:trPr>
          <w:trHeight w:val="270"/>
        </w:trPr>
        <w:tc>
          <w:tcPr>
            <w:tcW w:w="0" w:type="auto"/>
            <w:vAlign w:val="center"/>
          </w:tcPr>
          <w:p w:rsidR="00E70B82" w:rsidRPr="00C430A4" w:rsidRDefault="00E70B82" w:rsidP="00A34AC4">
            <w:pPr>
              <w:spacing w:line="360" w:lineRule="auto"/>
              <w:jc w:val="center"/>
              <w:rPr>
                <w:rFonts w:ascii="宋体" w:eastAsia="宋体" w:hAnsi="宋体"/>
                <w:color w:val="000000"/>
                <w:sz w:val="16"/>
                <w:szCs w:val="10"/>
              </w:rPr>
            </w:pPr>
            <w:r w:rsidRPr="00C430A4">
              <w:rPr>
                <w:rFonts w:ascii="宋体" w:eastAsia="宋体" w:hAnsi="宋体" w:hint="eastAsia"/>
                <w:color w:val="000000"/>
                <w:sz w:val="16"/>
                <w:szCs w:val="10"/>
              </w:rPr>
              <w:t>华北</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7.55</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11.58</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-12.97</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8.84</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18.81</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6.18</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-3.75</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-10.14</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-5.03</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-1.75</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-0.82</w:t>
            </w:r>
          </w:p>
        </w:tc>
      </w:tr>
      <w:tr w:rsidR="00E70B82" w:rsidRPr="00C430A4" w:rsidTr="00924004">
        <w:trPr>
          <w:trHeight w:val="270"/>
        </w:trPr>
        <w:tc>
          <w:tcPr>
            <w:tcW w:w="0" w:type="auto"/>
            <w:vAlign w:val="center"/>
          </w:tcPr>
          <w:p w:rsidR="00E70B82" w:rsidRPr="00C430A4" w:rsidRDefault="00E70B82" w:rsidP="00A34AC4">
            <w:pPr>
              <w:spacing w:line="360" w:lineRule="auto"/>
              <w:jc w:val="center"/>
              <w:rPr>
                <w:rFonts w:ascii="宋体" w:eastAsia="宋体" w:hAnsi="宋体"/>
                <w:color w:val="000000"/>
                <w:sz w:val="16"/>
                <w:szCs w:val="10"/>
              </w:rPr>
            </w:pPr>
            <w:r w:rsidRPr="00C430A4">
              <w:rPr>
                <w:rFonts w:ascii="宋体" w:eastAsia="宋体" w:hAnsi="宋体" w:hint="eastAsia"/>
                <w:color w:val="000000"/>
                <w:sz w:val="16"/>
                <w:szCs w:val="10"/>
              </w:rPr>
              <w:t>华南</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31.90</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21.89</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-59.06</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21.50</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23.46</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56.27</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38.65</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-7.82</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14.61</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13.75</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13.03</w:t>
            </w:r>
          </w:p>
        </w:tc>
      </w:tr>
      <w:tr w:rsidR="00E70B82" w:rsidRPr="00C430A4" w:rsidTr="00924004">
        <w:trPr>
          <w:trHeight w:val="270"/>
        </w:trPr>
        <w:tc>
          <w:tcPr>
            <w:tcW w:w="0" w:type="auto"/>
            <w:vAlign w:val="center"/>
          </w:tcPr>
          <w:p w:rsidR="00E70B82" w:rsidRPr="00C430A4" w:rsidRDefault="00E70B82" w:rsidP="00A34AC4">
            <w:pPr>
              <w:spacing w:line="360" w:lineRule="auto"/>
              <w:jc w:val="center"/>
              <w:rPr>
                <w:rFonts w:ascii="宋体" w:eastAsia="宋体" w:hAnsi="宋体"/>
                <w:color w:val="000000"/>
                <w:sz w:val="16"/>
                <w:szCs w:val="10"/>
              </w:rPr>
            </w:pPr>
            <w:r w:rsidRPr="00C430A4">
              <w:rPr>
                <w:rFonts w:ascii="宋体" w:eastAsia="宋体" w:hAnsi="宋体" w:hint="eastAsia"/>
                <w:color w:val="000000"/>
                <w:sz w:val="16"/>
                <w:szCs w:val="10"/>
              </w:rPr>
              <w:t>华东</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6.01</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9.89</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-3.79</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-1.79</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35.33</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-3.94</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-2.10</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-5.37</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4.48</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1.12</w:t>
            </w:r>
          </w:p>
        </w:tc>
        <w:tc>
          <w:tcPr>
            <w:tcW w:w="0" w:type="auto"/>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6.77</w:t>
            </w:r>
          </w:p>
        </w:tc>
      </w:tr>
      <w:tr w:rsidR="00E70B82" w:rsidRPr="00C430A4" w:rsidTr="00924004">
        <w:trPr>
          <w:trHeight w:val="270"/>
        </w:trPr>
        <w:tc>
          <w:tcPr>
            <w:tcW w:w="0" w:type="auto"/>
            <w:tcBorders>
              <w:bottom w:val="single" w:sz="18" w:space="0" w:color="auto"/>
            </w:tcBorders>
            <w:vAlign w:val="center"/>
          </w:tcPr>
          <w:p w:rsidR="00E70B82" w:rsidRPr="00C430A4" w:rsidRDefault="00E70B82" w:rsidP="00A34AC4">
            <w:pPr>
              <w:spacing w:line="360" w:lineRule="auto"/>
              <w:jc w:val="center"/>
              <w:rPr>
                <w:rFonts w:ascii="宋体" w:eastAsia="宋体" w:hAnsi="宋体"/>
                <w:color w:val="000000"/>
                <w:sz w:val="16"/>
                <w:szCs w:val="10"/>
              </w:rPr>
            </w:pPr>
            <w:r w:rsidRPr="00C430A4">
              <w:rPr>
                <w:rFonts w:ascii="宋体" w:eastAsia="宋体" w:hAnsi="宋体" w:hint="eastAsia"/>
                <w:color w:val="000000"/>
                <w:sz w:val="16"/>
                <w:szCs w:val="10"/>
              </w:rPr>
              <w:t>西部</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5.36</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15.83</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-15.25</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9.81</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73.44</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26.13</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19.68</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4.80</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-18.28</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11.08</w:t>
            </w:r>
          </w:p>
        </w:tc>
        <w:tc>
          <w:tcPr>
            <w:tcW w:w="0" w:type="auto"/>
            <w:tcBorders>
              <w:bottom w:val="single" w:sz="18" w:space="0" w:color="auto"/>
            </w:tcBorders>
            <w:noWrap/>
            <w:hideMark/>
          </w:tcPr>
          <w:p w:rsidR="00E70B82" w:rsidRPr="00C430A4" w:rsidRDefault="00E70B82" w:rsidP="00A34AC4">
            <w:pPr>
              <w:spacing w:line="360" w:lineRule="auto"/>
              <w:rPr>
                <w:rFonts w:ascii="宋体" w:eastAsia="宋体" w:hAnsi="宋体"/>
                <w:sz w:val="16"/>
                <w:szCs w:val="10"/>
              </w:rPr>
            </w:pPr>
            <w:r w:rsidRPr="00C430A4">
              <w:rPr>
                <w:rFonts w:ascii="宋体" w:eastAsia="宋体" w:hAnsi="宋体" w:hint="eastAsia"/>
                <w:sz w:val="16"/>
                <w:szCs w:val="10"/>
              </w:rPr>
              <w:t>16.93</w:t>
            </w:r>
          </w:p>
        </w:tc>
      </w:tr>
    </w:tbl>
    <w:p w:rsidR="00050B35" w:rsidRPr="00050B35" w:rsidRDefault="00050B35" w:rsidP="00050B35">
      <w:pPr>
        <w:ind w:firstLineChars="200" w:firstLine="420"/>
        <w:jc w:val="left"/>
        <w:rPr>
          <w:rFonts w:ascii="仿宋" w:eastAsia="仿宋" w:hAnsi="仿宋"/>
        </w:rPr>
      </w:pPr>
      <w:r w:rsidRPr="00A36F9A">
        <w:rPr>
          <w:rFonts w:ascii="仿宋" w:eastAsia="仿宋" w:hAnsi="仿宋" w:hint="eastAsia"/>
        </w:rPr>
        <w:t>数据来源：根据2006-201</w:t>
      </w:r>
      <w:r w:rsidR="00B56D20">
        <w:rPr>
          <w:rFonts w:ascii="仿宋" w:eastAsia="仿宋" w:hAnsi="仿宋" w:hint="eastAsia"/>
        </w:rPr>
        <w:t>6</w:t>
      </w:r>
      <w:r w:rsidRPr="00A36F9A">
        <w:rPr>
          <w:rFonts w:ascii="仿宋" w:eastAsia="仿宋" w:hAnsi="仿宋" w:hint="eastAsia"/>
        </w:rPr>
        <w:t>年各个地区统计年鉴</w:t>
      </w:r>
      <w:r w:rsidR="00CC239E">
        <w:rPr>
          <w:rFonts w:ascii="仿宋" w:eastAsia="仿宋" w:hAnsi="仿宋" w:hint="eastAsia"/>
        </w:rPr>
        <w:t>和《中国旅游统计年鉴》</w:t>
      </w:r>
      <w:r w:rsidRPr="00A36F9A">
        <w:rPr>
          <w:rFonts w:ascii="仿宋" w:eastAsia="仿宋" w:hAnsi="仿宋" w:hint="eastAsia"/>
        </w:rPr>
        <w:t>计算得出。</w:t>
      </w:r>
    </w:p>
    <w:p w:rsidR="00C430A4" w:rsidRPr="002D39A8" w:rsidRDefault="002D39A8" w:rsidP="002D39A8">
      <w:pPr>
        <w:spacing w:line="360" w:lineRule="auto"/>
        <w:ind w:firstLineChars="200" w:firstLine="420"/>
        <w:jc w:val="left"/>
      </w:pPr>
      <w:r w:rsidRPr="002D39A8">
        <w:rPr>
          <w:rFonts w:hint="eastAsia"/>
        </w:rPr>
        <w:t>从入境旅游收入的增长率来看，</w:t>
      </w:r>
      <w:r>
        <w:rPr>
          <w:rFonts w:hint="eastAsia"/>
        </w:rPr>
        <w:t>相较于入境旅游人数的增长情况而言，西部地区入境旅游的增长表现更为抢眼。</w:t>
      </w:r>
      <w:r w:rsidR="00594F1C">
        <w:rPr>
          <w:rFonts w:hint="eastAsia"/>
        </w:rPr>
        <w:t>同样，除华南与西部地区外，全国、华北地区和华东地区</w:t>
      </w:r>
      <w:r w:rsidR="00594F1C">
        <w:rPr>
          <w:rFonts w:hint="eastAsia"/>
        </w:rPr>
        <w:t>2006-2016</w:t>
      </w:r>
      <w:r w:rsidR="00594F1C">
        <w:rPr>
          <w:rFonts w:hint="eastAsia"/>
        </w:rPr>
        <w:t>年间入境旅游收入的增长率都呈下降趋势</w:t>
      </w:r>
      <w:r w:rsidR="001F37B1">
        <w:rPr>
          <w:rFonts w:hint="eastAsia"/>
        </w:rPr>
        <w:t>。</w:t>
      </w:r>
      <w:r w:rsidR="009D3DF1">
        <w:rPr>
          <w:rFonts w:hint="eastAsia"/>
        </w:rPr>
        <w:t>其中</w:t>
      </w:r>
      <w:r w:rsidR="001F37B1">
        <w:rPr>
          <w:rFonts w:hint="eastAsia"/>
        </w:rPr>
        <w:t>，华南地区入境旅游收入增长率由</w:t>
      </w:r>
      <w:r w:rsidR="001F37B1">
        <w:rPr>
          <w:rFonts w:hint="eastAsia"/>
        </w:rPr>
        <w:t>2006</w:t>
      </w:r>
      <w:r w:rsidR="001F37B1">
        <w:rPr>
          <w:rFonts w:hint="eastAsia"/>
        </w:rPr>
        <w:t>年的</w:t>
      </w:r>
      <w:r w:rsidR="001F37B1">
        <w:rPr>
          <w:rFonts w:hint="eastAsia"/>
        </w:rPr>
        <w:t>25.09%</w:t>
      </w:r>
      <w:r w:rsidR="001F37B1">
        <w:rPr>
          <w:rFonts w:hint="eastAsia"/>
        </w:rPr>
        <w:t>上升为</w:t>
      </w:r>
      <w:r w:rsidR="00426034">
        <w:rPr>
          <w:rFonts w:hint="eastAsia"/>
        </w:rPr>
        <w:t>33.80%</w:t>
      </w:r>
      <w:r w:rsidR="00426034">
        <w:rPr>
          <w:rFonts w:hint="eastAsia"/>
        </w:rPr>
        <w:t>；西部地区的入境旅游收入增长率</w:t>
      </w:r>
      <w:r w:rsidR="00707218">
        <w:rPr>
          <w:rFonts w:hint="eastAsia"/>
        </w:rPr>
        <w:t>虽然波动较大，但其</w:t>
      </w:r>
      <w:r w:rsidR="00426034">
        <w:rPr>
          <w:rFonts w:hint="eastAsia"/>
        </w:rPr>
        <w:t>由</w:t>
      </w:r>
      <w:r w:rsidR="00426034">
        <w:rPr>
          <w:rFonts w:hint="eastAsia"/>
        </w:rPr>
        <w:t>2006</w:t>
      </w:r>
      <w:r w:rsidR="00426034">
        <w:rPr>
          <w:rFonts w:hint="eastAsia"/>
        </w:rPr>
        <w:t>年的</w:t>
      </w:r>
      <w:r w:rsidR="00426034">
        <w:rPr>
          <w:rFonts w:hint="eastAsia"/>
        </w:rPr>
        <w:t>6.37%</w:t>
      </w:r>
      <w:r w:rsidR="00426034">
        <w:rPr>
          <w:rFonts w:hint="eastAsia"/>
        </w:rPr>
        <w:t>上升为</w:t>
      </w:r>
      <w:r w:rsidR="00426034">
        <w:rPr>
          <w:rFonts w:hint="eastAsia"/>
        </w:rPr>
        <w:t>2016</w:t>
      </w:r>
      <w:r w:rsidR="00426034">
        <w:rPr>
          <w:rFonts w:hint="eastAsia"/>
        </w:rPr>
        <w:t>年的</w:t>
      </w:r>
      <w:r w:rsidR="00426034">
        <w:rPr>
          <w:rFonts w:hint="eastAsia"/>
        </w:rPr>
        <w:t>36.35%</w:t>
      </w:r>
      <w:r w:rsidR="00426034">
        <w:rPr>
          <w:rFonts w:hint="eastAsia"/>
        </w:rPr>
        <w:t>，上升幅度远大于华南地区，并成为全国入境旅游收入增长率最高的地区</w:t>
      </w:r>
      <w:r w:rsidR="00707218">
        <w:rPr>
          <w:rFonts w:hint="eastAsia"/>
        </w:rPr>
        <w:t>。</w:t>
      </w:r>
    </w:p>
    <w:p w:rsidR="00E70B82" w:rsidRPr="003B7EF5" w:rsidRDefault="00E70B82" w:rsidP="00A34AC4">
      <w:pPr>
        <w:spacing w:line="360" w:lineRule="auto"/>
        <w:jc w:val="center"/>
        <w:rPr>
          <w:b/>
        </w:rPr>
      </w:pPr>
      <w:r w:rsidRPr="003B7EF5">
        <w:rPr>
          <w:rFonts w:hint="eastAsia"/>
          <w:b/>
        </w:rPr>
        <w:t>表</w:t>
      </w:r>
      <w:r w:rsidRPr="003B7EF5">
        <w:rPr>
          <w:b/>
        </w:rPr>
        <w:t>2</w:t>
      </w:r>
      <w:r w:rsidR="003B7EF5">
        <w:rPr>
          <w:rFonts w:hint="eastAsia"/>
          <w:b/>
        </w:rPr>
        <w:t xml:space="preserve"> </w:t>
      </w:r>
      <w:r w:rsidRPr="003B7EF5">
        <w:rPr>
          <w:b/>
        </w:rPr>
        <w:t xml:space="preserve"> 2006-2016</w:t>
      </w:r>
      <w:r w:rsidRPr="003B7EF5">
        <w:rPr>
          <w:b/>
        </w:rPr>
        <w:t>年不同地区入境旅游收入增长率对比</w:t>
      </w:r>
    </w:p>
    <w:tbl>
      <w:tblPr>
        <w:tblStyle w:val="ad"/>
        <w:tblW w:w="8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16"/>
        <w:gridCol w:w="616"/>
        <w:gridCol w:w="696"/>
        <w:gridCol w:w="616"/>
        <w:gridCol w:w="616"/>
        <w:gridCol w:w="616"/>
        <w:gridCol w:w="616"/>
        <w:gridCol w:w="616"/>
        <w:gridCol w:w="696"/>
        <w:gridCol w:w="696"/>
        <w:gridCol w:w="616"/>
      </w:tblGrid>
      <w:tr w:rsidR="00E70B82" w:rsidRPr="00C430A4" w:rsidTr="00050B35">
        <w:trPr>
          <w:trHeight w:val="270"/>
        </w:trPr>
        <w:tc>
          <w:tcPr>
            <w:tcW w:w="1294" w:type="dxa"/>
            <w:tcBorders>
              <w:top w:val="single" w:sz="18" w:space="0" w:color="auto"/>
              <w:bottom w:val="single" w:sz="12" w:space="0" w:color="auto"/>
            </w:tcBorders>
            <w:vAlign w:val="center"/>
          </w:tcPr>
          <w:p w:rsidR="00E70B82" w:rsidRPr="00C430A4" w:rsidRDefault="00E70B82" w:rsidP="00A34AC4">
            <w:pPr>
              <w:widowControl/>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入境旅游收入增长率（</w:t>
            </w:r>
            <w:r w:rsidRPr="00C430A4">
              <w:rPr>
                <w:rFonts w:ascii="宋体" w:eastAsia="宋体" w:hAnsi="宋体"/>
                <w:color w:val="000000"/>
                <w:sz w:val="16"/>
                <w:szCs w:val="15"/>
              </w:rPr>
              <w:t>%</w:t>
            </w:r>
            <w:r w:rsidRPr="00C430A4">
              <w:rPr>
                <w:rFonts w:ascii="宋体" w:eastAsia="宋体" w:hAnsi="宋体" w:hint="eastAsia"/>
                <w:color w:val="000000"/>
                <w:sz w:val="16"/>
                <w:szCs w:val="15"/>
              </w:rPr>
              <w:t>）</w:t>
            </w:r>
          </w:p>
        </w:tc>
        <w:tc>
          <w:tcPr>
            <w:tcW w:w="616" w:type="dxa"/>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2006</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2007</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2008</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2009</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2010</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2011</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2012</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2013</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2014</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2015</w:t>
            </w:r>
          </w:p>
        </w:tc>
        <w:tc>
          <w:tcPr>
            <w:tcW w:w="0" w:type="auto"/>
            <w:tcBorders>
              <w:top w:val="single" w:sz="18" w:space="0" w:color="auto"/>
              <w:bottom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2016</w:t>
            </w:r>
          </w:p>
        </w:tc>
      </w:tr>
      <w:tr w:rsidR="00E70B82" w:rsidRPr="00C430A4" w:rsidTr="00050B35">
        <w:trPr>
          <w:trHeight w:val="270"/>
        </w:trPr>
        <w:tc>
          <w:tcPr>
            <w:tcW w:w="1294" w:type="dxa"/>
            <w:tcBorders>
              <w:top w:val="single" w:sz="12" w:space="0" w:color="auto"/>
            </w:tcBorders>
            <w:vAlign w:val="center"/>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全国</w:t>
            </w:r>
          </w:p>
        </w:tc>
        <w:tc>
          <w:tcPr>
            <w:tcW w:w="616" w:type="dxa"/>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12.90</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23.50</w:t>
            </w:r>
          </w:p>
        </w:tc>
        <w:tc>
          <w:tcPr>
            <w:tcW w:w="0" w:type="auto"/>
            <w:tcBorders>
              <w:top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-2.60</w:t>
            </w:r>
          </w:p>
        </w:tc>
        <w:tc>
          <w:tcPr>
            <w:tcW w:w="0" w:type="auto"/>
            <w:tcBorders>
              <w:top w:val="single" w:sz="12"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-2.90</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15.50</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5.80</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3.20</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3.30</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103.97</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7.80</w:t>
            </w:r>
          </w:p>
        </w:tc>
        <w:tc>
          <w:tcPr>
            <w:tcW w:w="0" w:type="auto"/>
            <w:tcBorders>
              <w:top w:val="single" w:sz="12" w:space="0" w:color="auto"/>
            </w:tcBorders>
            <w:noWrap/>
            <w:vAlign w:val="bottom"/>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5.60</w:t>
            </w:r>
          </w:p>
        </w:tc>
      </w:tr>
      <w:tr w:rsidR="00E70B82" w:rsidRPr="00C430A4" w:rsidTr="00050B35">
        <w:trPr>
          <w:trHeight w:val="270"/>
        </w:trPr>
        <w:tc>
          <w:tcPr>
            <w:tcW w:w="1294" w:type="dxa"/>
            <w:vAlign w:val="center"/>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华北</w:t>
            </w:r>
          </w:p>
        </w:tc>
        <w:tc>
          <w:tcPr>
            <w:tcW w:w="616" w:type="dxa"/>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11.23</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13.74</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-2.61</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-2.24</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15.69</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7.38</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-4.93</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-6.88</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-3.90</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-0.06</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10.10</w:t>
            </w:r>
          </w:p>
        </w:tc>
      </w:tr>
      <w:tr w:rsidR="00E70B82" w:rsidRPr="00C430A4" w:rsidTr="00050B35">
        <w:trPr>
          <w:trHeight w:val="270"/>
        </w:trPr>
        <w:tc>
          <w:tcPr>
            <w:tcW w:w="1294" w:type="dxa"/>
            <w:vAlign w:val="center"/>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华南</w:t>
            </w:r>
          </w:p>
        </w:tc>
        <w:tc>
          <w:tcPr>
            <w:tcW w:w="616" w:type="dxa"/>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25.09</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29.65</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-58.05</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34.22</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22.71</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67.71</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34.41</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-4.18</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12.15</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37.68</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33.80</w:t>
            </w:r>
          </w:p>
        </w:tc>
      </w:tr>
      <w:tr w:rsidR="00E70B82" w:rsidRPr="00C430A4" w:rsidTr="00050B35">
        <w:trPr>
          <w:trHeight w:val="270"/>
        </w:trPr>
        <w:tc>
          <w:tcPr>
            <w:tcW w:w="1294" w:type="dxa"/>
            <w:vAlign w:val="center"/>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华东</w:t>
            </w:r>
          </w:p>
        </w:tc>
        <w:tc>
          <w:tcPr>
            <w:tcW w:w="616" w:type="dxa"/>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9.78</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19.59</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6.12</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-4.60</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33.55</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-8.90</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-5.86</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-4.53</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8.79</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4.47</w:t>
            </w:r>
          </w:p>
        </w:tc>
        <w:tc>
          <w:tcPr>
            <w:tcW w:w="0" w:type="auto"/>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9.56</w:t>
            </w:r>
          </w:p>
        </w:tc>
      </w:tr>
      <w:tr w:rsidR="00E70B82" w:rsidRPr="00C430A4" w:rsidTr="00050B35">
        <w:trPr>
          <w:trHeight w:val="270"/>
        </w:trPr>
        <w:tc>
          <w:tcPr>
            <w:tcW w:w="1294" w:type="dxa"/>
            <w:tcBorders>
              <w:bottom w:val="single" w:sz="18" w:space="0" w:color="auto"/>
            </w:tcBorders>
            <w:vAlign w:val="center"/>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西部</w:t>
            </w:r>
          </w:p>
        </w:tc>
        <w:tc>
          <w:tcPr>
            <w:tcW w:w="616" w:type="dxa"/>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6.37</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15.86</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20.39</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-4.29</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13.82</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51.22</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27.46</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21.60</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5.09</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-14.96</w:t>
            </w:r>
          </w:p>
        </w:tc>
        <w:tc>
          <w:tcPr>
            <w:tcW w:w="0" w:type="auto"/>
            <w:tcBorders>
              <w:bottom w:val="single" w:sz="18" w:space="0" w:color="auto"/>
            </w:tcBorders>
            <w:noWrap/>
            <w:vAlign w:val="center"/>
            <w:hideMark/>
          </w:tcPr>
          <w:p w:rsidR="00E70B82" w:rsidRPr="00C430A4" w:rsidRDefault="00E70B82" w:rsidP="00A34AC4">
            <w:pPr>
              <w:spacing w:line="360" w:lineRule="auto"/>
              <w:jc w:val="center"/>
              <w:rPr>
                <w:rFonts w:ascii="宋体" w:eastAsia="宋体" w:hAnsi="宋体"/>
                <w:color w:val="000000"/>
                <w:sz w:val="16"/>
                <w:szCs w:val="15"/>
              </w:rPr>
            </w:pPr>
            <w:r w:rsidRPr="00C430A4">
              <w:rPr>
                <w:rFonts w:ascii="宋体" w:eastAsia="宋体" w:hAnsi="宋体" w:hint="eastAsia"/>
                <w:color w:val="000000"/>
                <w:sz w:val="16"/>
                <w:szCs w:val="15"/>
              </w:rPr>
              <w:t>36.35</w:t>
            </w:r>
          </w:p>
        </w:tc>
      </w:tr>
    </w:tbl>
    <w:p w:rsidR="00050B35" w:rsidRPr="00050B35" w:rsidRDefault="00050B35" w:rsidP="00050B35">
      <w:pPr>
        <w:ind w:firstLineChars="200" w:firstLine="420"/>
        <w:jc w:val="left"/>
        <w:rPr>
          <w:rFonts w:ascii="仿宋" w:eastAsia="仿宋" w:hAnsi="仿宋"/>
        </w:rPr>
      </w:pPr>
      <w:r w:rsidRPr="00A36F9A">
        <w:rPr>
          <w:rFonts w:ascii="仿宋" w:eastAsia="仿宋" w:hAnsi="仿宋" w:hint="eastAsia"/>
        </w:rPr>
        <w:t>数据来源：根据2006-201</w:t>
      </w:r>
      <w:r w:rsidR="0001453B">
        <w:rPr>
          <w:rFonts w:ascii="仿宋" w:eastAsia="仿宋" w:hAnsi="仿宋" w:hint="eastAsia"/>
        </w:rPr>
        <w:t>6</w:t>
      </w:r>
      <w:r w:rsidRPr="00A36F9A">
        <w:rPr>
          <w:rFonts w:ascii="仿宋" w:eastAsia="仿宋" w:hAnsi="仿宋" w:hint="eastAsia"/>
        </w:rPr>
        <w:t>年各个地区统计年鉴</w:t>
      </w:r>
      <w:r w:rsidR="00CC239E">
        <w:rPr>
          <w:rFonts w:ascii="仿宋" w:eastAsia="仿宋" w:hAnsi="仿宋" w:hint="eastAsia"/>
        </w:rPr>
        <w:t>和《中国旅游统计年鉴》</w:t>
      </w:r>
      <w:r w:rsidRPr="00A36F9A">
        <w:rPr>
          <w:rFonts w:ascii="仿宋" w:eastAsia="仿宋" w:hAnsi="仿宋" w:hint="eastAsia"/>
        </w:rPr>
        <w:t>计算得出。</w:t>
      </w:r>
    </w:p>
    <w:p w:rsidR="00E70B82" w:rsidRDefault="00E70B82" w:rsidP="007E5BE2">
      <w:pPr>
        <w:ind w:firstLineChars="200" w:firstLine="420"/>
        <w:jc w:val="left"/>
      </w:pPr>
      <w:r>
        <w:rPr>
          <w:rFonts w:hint="eastAsia"/>
        </w:rPr>
        <w:t>2</w:t>
      </w:r>
      <w:r>
        <w:rPr>
          <w:rFonts w:hint="eastAsia"/>
        </w:rPr>
        <w:t>）年均增长率分析</w:t>
      </w:r>
    </w:p>
    <w:p w:rsidR="00E70B82" w:rsidRDefault="00CC239E" w:rsidP="00E70B82">
      <w:pPr>
        <w:jc w:val="center"/>
      </w:pPr>
      <w:r w:rsidRPr="00CC239E">
        <w:rPr>
          <w:noProof/>
        </w:rPr>
        <w:lastRenderedPageBreak/>
        <w:drawing>
          <wp:inline distT="0" distB="0" distL="0" distR="0">
            <wp:extent cx="4572000" cy="2743200"/>
            <wp:effectExtent l="0" t="0" r="0" b="0"/>
            <wp:docPr id="8" name="图表 1">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D50204-F494-41D3-A288-631C8CDB4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0B82" w:rsidRDefault="00E70B82" w:rsidP="00E70B82">
      <w:pPr>
        <w:jc w:val="center"/>
        <w:rPr>
          <w:b/>
        </w:rPr>
      </w:pPr>
      <w:r w:rsidRPr="00707218">
        <w:rPr>
          <w:rFonts w:hint="eastAsia"/>
          <w:b/>
        </w:rPr>
        <w:t>图</w:t>
      </w:r>
      <w:r w:rsidR="00D0562D">
        <w:rPr>
          <w:rFonts w:hint="eastAsia"/>
          <w:b/>
        </w:rPr>
        <w:t>2</w:t>
      </w:r>
      <w:r w:rsidRPr="00707218">
        <w:rPr>
          <w:b/>
        </w:rPr>
        <w:t xml:space="preserve"> </w:t>
      </w:r>
      <w:r w:rsidR="00707218" w:rsidRPr="00707218">
        <w:rPr>
          <w:rFonts w:hint="eastAsia"/>
          <w:b/>
        </w:rPr>
        <w:t xml:space="preserve"> </w:t>
      </w:r>
      <w:r w:rsidRPr="00707218">
        <w:rPr>
          <w:b/>
        </w:rPr>
        <w:t>2006-2016</w:t>
      </w:r>
      <w:r w:rsidRPr="00707218">
        <w:rPr>
          <w:b/>
        </w:rPr>
        <w:t>年不同地区年入境旅游人数</w:t>
      </w:r>
      <w:r w:rsidR="00CC239E">
        <w:rPr>
          <w:rFonts w:hint="eastAsia"/>
          <w:b/>
        </w:rPr>
        <w:t>与收入</w:t>
      </w:r>
      <w:r w:rsidRPr="00707218">
        <w:rPr>
          <w:b/>
        </w:rPr>
        <w:t>年均增长率对比</w:t>
      </w:r>
    </w:p>
    <w:p w:rsidR="002B231D" w:rsidRPr="00707218" w:rsidRDefault="002B231D" w:rsidP="00E70B82">
      <w:pPr>
        <w:jc w:val="center"/>
        <w:rPr>
          <w:b/>
        </w:rPr>
      </w:pPr>
      <w:r>
        <w:rPr>
          <w:rFonts w:ascii="仿宋" w:eastAsia="仿宋" w:hAnsi="仿宋" w:hint="eastAsia"/>
        </w:rPr>
        <w:t xml:space="preserve">   </w:t>
      </w:r>
      <w:r w:rsidRPr="00A36F9A">
        <w:rPr>
          <w:rFonts w:ascii="仿宋" w:eastAsia="仿宋" w:hAnsi="仿宋" w:hint="eastAsia"/>
        </w:rPr>
        <w:t>数据来源：根据2006-201</w:t>
      </w:r>
      <w:r>
        <w:rPr>
          <w:rFonts w:ascii="仿宋" w:eastAsia="仿宋" w:hAnsi="仿宋" w:hint="eastAsia"/>
        </w:rPr>
        <w:t>6</w:t>
      </w:r>
      <w:r w:rsidRPr="00A36F9A">
        <w:rPr>
          <w:rFonts w:ascii="仿宋" w:eastAsia="仿宋" w:hAnsi="仿宋" w:hint="eastAsia"/>
        </w:rPr>
        <w:t>年各个地区统计年鉴</w:t>
      </w:r>
      <w:r>
        <w:rPr>
          <w:rFonts w:ascii="仿宋" w:eastAsia="仿宋" w:hAnsi="仿宋" w:hint="eastAsia"/>
        </w:rPr>
        <w:t>和《中国旅游统计年鉴》</w:t>
      </w:r>
      <w:r w:rsidRPr="00A36F9A">
        <w:rPr>
          <w:rFonts w:ascii="仿宋" w:eastAsia="仿宋" w:hAnsi="仿宋" w:hint="eastAsia"/>
        </w:rPr>
        <w:t>计算得出。</w:t>
      </w:r>
    </w:p>
    <w:p w:rsidR="00E70B82" w:rsidRDefault="005639B9" w:rsidP="002B231D">
      <w:pPr>
        <w:spacing w:line="360" w:lineRule="auto"/>
        <w:ind w:firstLineChars="200" w:firstLine="420"/>
        <w:jc w:val="left"/>
      </w:pPr>
      <w:r>
        <w:rPr>
          <w:rFonts w:hint="eastAsia"/>
        </w:rPr>
        <w:t>由图</w:t>
      </w:r>
      <w:r>
        <w:rPr>
          <w:rFonts w:hint="eastAsia"/>
        </w:rPr>
        <w:t>2</w:t>
      </w:r>
      <w:r>
        <w:rPr>
          <w:rFonts w:hint="eastAsia"/>
        </w:rPr>
        <w:t>所示，</w:t>
      </w:r>
      <w:r>
        <w:rPr>
          <w:rFonts w:hint="eastAsia"/>
        </w:rPr>
        <w:t>2006-2016</w:t>
      </w:r>
      <w:r>
        <w:rPr>
          <w:rFonts w:hint="eastAsia"/>
        </w:rPr>
        <w:t>年不同地区入境旅游人数年均增长率</w:t>
      </w:r>
      <w:r w:rsidR="00880774">
        <w:rPr>
          <w:rFonts w:hint="eastAsia"/>
        </w:rPr>
        <w:t>差别较大，</w:t>
      </w:r>
      <w:r w:rsidR="00B925FD">
        <w:rPr>
          <w:rFonts w:hint="eastAsia"/>
        </w:rPr>
        <w:t>年均增长率标准差为</w:t>
      </w:r>
      <w:r w:rsidR="00B925FD">
        <w:rPr>
          <w:rFonts w:hint="eastAsia"/>
        </w:rPr>
        <w:t>0.067</w:t>
      </w:r>
      <w:r w:rsidR="00B925FD">
        <w:rPr>
          <w:rFonts w:hint="eastAsia"/>
        </w:rPr>
        <w:t>。其中，</w:t>
      </w:r>
      <w:r w:rsidR="00880774">
        <w:rPr>
          <w:rFonts w:hint="eastAsia"/>
        </w:rPr>
        <w:t>华南地区年均增长率为</w:t>
      </w:r>
      <w:r w:rsidR="00880774">
        <w:rPr>
          <w:rFonts w:hint="eastAsia"/>
        </w:rPr>
        <w:t>15.29</w:t>
      </w:r>
      <w:r w:rsidR="00711D3C">
        <w:rPr>
          <w:rFonts w:hint="eastAsia"/>
        </w:rPr>
        <w:t>%</w:t>
      </w:r>
      <w:r w:rsidR="00711D3C">
        <w:rPr>
          <w:rFonts w:hint="eastAsia"/>
        </w:rPr>
        <w:t>，排名第一</w:t>
      </w:r>
      <w:r w:rsidR="00C5342E">
        <w:rPr>
          <w:rFonts w:hint="eastAsia"/>
        </w:rPr>
        <w:t>，</w:t>
      </w:r>
      <w:r w:rsidR="00966DF3">
        <w:rPr>
          <w:rFonts w:hint="eastAsia"/>
        </w:rPr>
        <w:t>分别</w:t>
      </w:r>
      <w:r w:rsidR="00C5342E">
        <w:rPr>
          <w:rFonts w:hint="eastAsia"/>
        </w:rPr>
        <w:t>是华东、华北和全国入境旅游人数增长率的</w:t>
      </w:r>
      <w:r w:rsidR="00C5342E">
        <w:rPr>
          <w:rFonts w:hint="eastAsia"/>
        </w:rPr>
        <w:t>3.6</w:t>
      </w:r>
      <w:r w:rsidR="0041090E">
        <w:rPr>
          <w:rFonts w:hint="eastAsia"/>
        </w:rPr>
        <w:t>1</w:t>
      </w:r>
      <w:r w:rsidR="00C5342E">
        <w:rPr>
          <w:rFonts w:hint="eastAsia"/>
        </w:rPr>
        <w:t>、</w:t>
      </w:r>
      <w:r w:rsidR="00C5342E">
        <w:rPr>
          <w:rFonts w:hint="eastAsia"/>
        </w:rPr>
        <w:t>9.1</w:t>
      </w:r>
      <w:r w:rsidR="0041090E">
        <w:rPr>
          <w:rFonts w:hint="eastAsia"/>
        </w:rPr>
        <w:t>0</w:t>
      </w:r>
      <w:r w:rsidR="00C5342E">
        <w:rPr>
          <w:rFonts w:hint="eastAsia"/>
        </w:rPr>
        <w:t>和</w:t>
      </w:r>
      <w:r w:rsidR="00FB193A">
        <w:rPr>
          <w:rFonts w:hint="eastAsia"/>
        </w:rPr>
        <w:t>11.41</w:t>
      </w:r>
      <w:r w:rsidR="00FB193A">
        <w:rPr>
          <w:rFonts w:hint="eastAsia"/>
        </w:rPr>
        <w:t>倍</w:t>
      </w:r>
      <w:r w:rsidR="00711D3C">
        <w:rPr>
          <w:rFonts w:hint="eastAsia"/>
        </w:rPr>
        <w:t>；西部地区次之，年均增长率为</w:t>
      </w:r>
      <w:r w:rsidR="00711D3C">
        <w:rPr>
          <w:rFonts w:hint="eastAsia"/>
        </w:rPr>
        <w:t>13.59%</w:t>
      </w:r>
      <w:r w:rsidR="00FB193A">
        <w:rPr>
          <w:rFonts w:hint="eastAsia"/>
        </w:rPr>
        <w:t>，是华东、华北和全国入境旅游人数增长率</w:t>
      </w:r>
      <w:r w:rsidR="00FB193A" w:rsidRPr="00C50D7A">
        <w:rPr>
          <w:rFonts w:hint="eastAsia"/>
        </w:rPr>
        <w:t>的</w:t>
      </w:r>
      <w:r w:rsidR="00FB193A" w:rsidRPr="00C50D7A">
        <w:rPr>
          <w:rFonts w:hint="eastAsia"/>
        </w:rPr>
        <w:t>3.2</w:t>
      </w:r>
      <w:r w:rsidR="0041090E" w:rsidRPr="00C50D7A">
        <w:rPr>
          <w:rFonts w:hint="eastAsia"/>
        </w:rPr>
        <w:t>0</w:t>
      </w:r>
      <w:r w:rsidR="00FB193A" w:rsidRPr="00C50D7A">
        <w:rPr>
          <w:rFonts w:hint="eastAsia"/>
        </w:rPr>
        <w:t>、</w:t>
      </w:r>
      <w:r w:rsidR="00C50D7A" w:rsidRPr="00C50D7A">
        <w:rPr>
          <w:rFonts w:hint="eastAsia"/>
        </w:rPr>
        <w:t>8.08</w:t>
      </w:r>
      <w:r w:rsidR="00FB193A" w:rsidRPr="00C50D7A">
        <w:rPr>
          <w:rFonts w:hint="eastAsia"/>
        </w:rPr>
        <w:t>和</w:t>
      </w:r>
      <w:r w:rsidR="00785DF5" w:rsidRPr="00C50D7A">
        <w:rPr>
          <w:rFonts w:hint="eastAsia"/>
        </w:rPr>
        <w:t>10.1</w:t>
      </w:r>
      <w:r w:rsidR="00C50D7A" w:rsidRPr="00C50D7A">
        <w:rPr>
          <w:rFonts w:hint="eastAsia"/>
        </w:rPr>
        <w:t>4</w:t>
      </w:r>
      <w:r w:rsidR="00FB193A">
        <w:rPr>
          <w:rFonts w:hint="eastAsia"/>
        </w:rPr>
        <w:t>倍</w:t>
      </w:r>
      <w:r w:rsidR="00711D3C">
        <w:rPr>
          <w:rFonts w:hint="eastAsia"/>
        </w:rPr>
        <w:t>；而华东、华北与全国的入境旅游人数年均增长率仅为</w:t>
      </w:r>
      <w:r w:rsidR="00711D3C">
        <w:rPr>
          <w:rFonts w:hint="eastAsia"/>
        </w:rPr>
        <w:t>4.24%</w:t>
      </w:r>
      <w:r w:rsidR="00711D3C">
        <w:rPr>
          <w:rFonts w:hint="eastAsia"/>
        </w:rPr>
        <w:t>、</w:t>
      </w:r>
      <w:r w:rsidR="00711D3C">
        <w:rPr>
          <w:rFonts w:hint="eastAsia"/>
        </w:rPr>
        <w:t>1.68%</w:t>
      </w:r>
      <w:r w:rsidR="00711D3C">
        <w:rPr>
          <w:rFonts w:hint="eastAsia"/>
        </w:rPr>
        <w:t>和</w:t>
      </w:r>
      <w:r w:rsidR="00711D3C">
        <w:rPr>
          <w:rFonts w:hint="eastAsia"/>
        </w:rPr>
        <w:t>1.34%</w:t>
      </w:r>
      <w:r w:rsidR="00711D3C">
        <w:rPr>
          <w:rFonts w:hint="eastAsia"/>
        </w:rPr>
        <w:t>。</w:t>
      </w:r>
      <w:r w:rsidR="007F2703">
        <w:rPr>
          <w:rFonts w:hint="eastAsia"/>
        </w:rPr>
        <w:t>同样，</w:t>
      </w:r>
      <w:r w:rsidR="00CE1814">
        <w:rPr>
          <w:rFonts w:hint="eastAsia"/>
        </w:rPr>
        <w:t>从</w:t>
      </w:r>
      <w:r w:rsidR="007F2703" w:rsidRPr="007F2703">
        <w:t>2006-2016</w:t>
      </w:r>
      <w:r w:rsidR="00CE1814">
        <w:t>年不同地区</w:t>
      </w:r>
      <w:r w:rsidR="007F2703" w:rsidRPr="007F2703">
        <w:t>入境旅游</w:t>
      </w:r>
      <w:r w:rsidR="007F2703" w:rsidRPr="007F2703">
        <w:rPr>
          <w:rFonts w:hint="eastAsia"/>
        </w:rPr>
        <w:t>收入</w:t>
      </w:r>
      <w:r w:rsidR="007F2703" w:rsidRPr="007F2703">
        <w:t>年均增长率对比</w:t>
      </w:r>
      <w:r w:rsidR="007F2703">
        <w:rPr>
          <w:rFonts w:hint="eastAsia"/>
        </w:rPr>
        <w:t>来看，</w:t>
      </w:r>
      <w:r w:rsidR="00966DF3">
        <w:rPr>
          <w:rFonts w:hint="eastAsia"/>
        </w:rPr>
        <w:t>华南地区年均增长率为</w:t>
      </w:r>
      <w:r w:rsidR="00966DF3">
        <w:rPr>
          <w:rFonts w:hint="eastAsia"/>
        </w:rPr>
        <w:t>21.38%</w:t>
      </w:r>
      <w:r w:rsidR="00966DF3">
        <w:rPr>
          <w:rFonts w:hint="eastAsia"/>
        </w:rPr>
        <w:t>，排名第一，分别是全国、华东和华北地区的</w:t>
      </w:r>
      <w:r w:rsidR="009F33D7">
        <w:rPr>
          <w:rFonts w:hint="eastAsia"/>
        </w:rPr>
        <w:t>1.33</w:t>
      </w:r>
      <w:r w:rsidR="009F33D7">
        <w:rPr>
          <w:rFonts w:hint="eastAsia"/>
        </w:rPr>
        <w:t>、</w:t>
      </w:r>
      <w:r w:rsidR="009F33D7">
        <w:rPr>
          <w:rFonts w:hint="eastAsia"/>
        </w:rPr>
        <w:t>3.50</w:t>
      </w:r>
      <w:r w:rsidR="009F33D7">
        <w:rPr>
          <w:rFonts w:hint="eastAsia"/>
        </w:rPr>
        <w:t>和</w:t>
      </w:r>
      <w:r w:rsidR="004F6A53">
        <w:rPr>
          <w:rFonts w:hint="eastAsia"/>
        </w:rPr>
        <w:t>6.27</w:t>
      </w:r>
      <w:r w:rsidR="004F6A53">
        <w:rPr>
          <w:rFonts w:hint="eastAsia"/>
        </w:rPr>
        <w:t>倍；西部地区次之，入境旅游收入年均增长率为</w:t>
      </w:r>
      <w:r w:rsidR="004F6A53">
        <w:rPr>
          <w:rFonts w:hint="eastAsia"/>
        </w:rPr>
        <w:t>16.27%</w:t>
      </w:r>
      <w:r w:rsidR="004F6A53">
        <w:rPr>
          <w:rFonts w:hint="eastAsia"/>
        </w:rPr>
        <w:t>，</w:t>
      </w:r>
      <w:r w:rsidR="00E67076">
        <w:rPr>
          <w:rFonts w:hint="eastAsia"/>
        </w:rPr>
        <w:t>基本与全国</w:t>
      </w:r>
      <w:r w:rsidR="00E67076">
        <w:rPr>
          <w:rFonts w:hint="eastAsia"/>
        </w:rPr>
        <w:t>16.01%</w:t>
      </w:r>
      <w:r w:rsidR="00E67076">
        <w:rPr>
          <w:rFonts w:hint="eastAsia"/>
        </w:rPr>
        <w:t>的增长率持平，分别是华东和华北地区的</w:t>
      </w:r>
      <w:r w:rsidR="00E67076">
        <w:rPr>
          <w:rFonts w:hint="eastAsia"/>
        </w:rPr>
        <w:t>2.63</w:t>
      </w:r>
      <w:r w:rsidR="00E67076">
        <w:rPr>
          <w:rFonts w:hint="eastAsia"/>
        </w:rPr>
        <w:t>和</w:t>
      </w:r>
      <w:r w:rsidR="00D10023">
        <w:rPr>
          <w:rFonts w:hint="eastAsia"/>
        </w:rPr>
        <w:t>4.77</w:t>
      </w:r>
      <w:r w:rsidR="00D10023">
        <w:rPr>
          <w:rFonts w:hint="eastAsia"/>
        </w:rPr>
        <w:t>倍。因此，无</w:t>
      </w:r>
      <w:r w:rsidR="00C625B1">
        <w:rPr>
          <w:rFonts w:hint="eastAsia"/>
        </w:rPr>
        <w:t>论从入境旅游人数年均增长率还是从入境旅游收入年均增长率，西部地区入境旅游市场</w:t>
      </w:r>
      <w:r w:rsidR="00695526">
        <w:rPr>
          <w:rFonts w:hint="eastAsia"/>
        </w:rPr>
        <w:t>增长均快于全国平均水平，且大幅度</w:t>
      </w:r>
      <w:r w:rsidR="00472308">
        <w:rPr>
          <w:rFonts w:hint="eastAsia"/>
        </w:rPr>
        <w:t>地</w:t>
      </w:r>
      <w:r w:rsidR="00CE1814">
        <w:rPr>
          <w:rFonts w:hint="eastAsia"/>
        </w:rPr>
        <w:t>快于</w:t>
      </w:r>
      <w:r w:rsidR="00695526">
        <w:rPr>
          <w:rFonts w:hint="eastAsia"/>
        </w:rPr>
        <w:t>华北与华东地区。</w:t>
      </w:r>
    </w:p>
    <w:p w:rsidR="00E70B82" w:rsidRPr="00B34920" w:rsidRDefault="002C7D10" w:rsidP="007E5BE2">
      <w:pPr>
        <w:spacing w:line="360" w:lineRule="auto"/>
        <w:ind w:firstLineChars="196" w:firstLine="413"/>
        <w:outlineLvl w:val="0"/>
        <w:rPr>
          <w:rFonts w:eastAsia="宋体" w:hAnsi="Calibri" w:cs="Times New Roman"/>
          <w:b/>
        </w:rPr>
      </w:pPr>
      <w:r>
        <w:rPr>
          <w:rFonts w:eastAsia="宋体" w:hAnsi="Calibri" w:cs="Times New Roman" w:hint="eastAsia"/>
          <w:b/>
        </w:rPr>
        <w:t>（</w:t>
      </w:r>
      <w:r w:rsidR="000A4C50" w:rsidRPr="00B34920">
        <w:rPr>
          <w:rFonts w:eastAsia="宋体" w:hAnsi="Calibri" w:cs="Times New Roman" w:hint="eastAsia"/>
          <w:b/>
        </w:rPr>
        <w:t>3</w:t>
      </w:r>
      <w:r>
        <w:rPr>
          <w:rFonts w:eastAsia="宋体" w:hAnsi="Calibri" w:cs="Times New Roman" w:hint="eastAsia"/>
          <w:b/>
        </w:rPr>
        <w:t>）</w:t>
      </w:r>
      <w:r w:rsidR="00E70B82" w:rsidRPr="00B34920">
        <w:rPr>
          <w:rFonts w:eastAsia="宋体" w:hAnsi="Calibri" w:cs="Times New Roman" w:hint="eastAsia"/>
          <w:b/>
        </w:rPr>
        <w:t>西部地区入境旅游人均消费分析</w:t>
      </w:r>
    </w:p>
    <w:p w:rsidR="00E70B82" w:rsidRDefault="00E70B82" w:rsidP="00472308">
      <w:pPr>
        <w:ind w:firstLineChars="200" w:firstLine="420"/>
        <w:jc w:val="center"/>
      </w:pPr>
      <w:r>
        <w:rPr>
          <w:noProof/>
        </w:rPr>
        <w:lastRenderedPageBreak/>
        <w:drawing>
          <wp:inline distT="0" distB="0" distL="0" distR="0">
            <wp:extent cx="4572000" cy="2743200"/>
            <wp:effectExtent l="0" t="0" r="0" b="0"/>
            <wp:docPr id="6" name="图表 6">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4944AD-29F9-4E7B-BC3E-C81E8BBF77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5526" w:rsidRDefault="00695526" w:rsidP="00A36F9A">
      <w:pPr>
        <w:ind w:firstLineChars="200" w:firstLine="422"/>
        <w:jc w:val="center"/>
        <w:rPr>
          <w:b/>
        </w:rPr>
      </w:pPr>
      <w:r w:rsidRPr="00A36F9A">
        <w:rPr>
          <w:rFonts w:hint="eastAsia"/>
          <w:b/>
        </w:rPr>
        <w:t>图</w:t>
      </w:r>
      <w:r w:rsidRPr="00A36F9A">
        <w:rPr>
          <w:rFonts w:hint="eastAsia"/>
          <w:b/>
        </w:rPr>
        <w:t>3  2006-2015</w:t>
      </w:r>
      <w:r w:rsidRPr="00A36F9A">
        <w:rPr>
          <w:rFonts w:hint="eastAsia"/>
          <w:b/>
        </w:rPr>
        <w:t>年</w:t>
      </w:r>
      <w:r w:rsidR="00A36F9A" w:rsidRPr="00A36F9A">
        <w:rPr>
          <w:rFonts w:hint="eastAsia"/>
          <w:b/>
        </w:rPr>
        <w:t>不同地区</w:t>
      </w:r>
      <w:r w:rsidRPr="00A36F9A">
        <w:rPr>
          <w:rFonts w:hint="eastAsia"/>
          <w:b/>
        </w:rPr>
        <w:t>入境游客人均花费对比</w:t>
      </w:r>
    </w:p>
    <w:p w:rsidR="00A36F9A" w:rsidRPr="00A36F9A" w:rsidRDefault="00A36F9A" w:rsidP="00A36F9A">
      <w:pPr>
        <w:ind w:firstLineChars="200" w:firstLine="420"/>
        <w:jc w:val="left"/>
        <w:rPr>
          <w:rFonts w:ascii="仿宋" w:eastAsia="仿宋" w:hAnsi="仿宋"/>
        </w:rPr>
      </w:pPr>
      <w:r w:rsidRPr="00A36F9A">
        <w:rPr>
          <w:rFonts w:ascii="仿宋" w:eastAsia="仿宋" w:hAnsi="仿宋" w:hint="eastAsia"/>
        </w:rPr>
        <w:t>数据来源：根据2006-2015年各个地区统计年鉴计算得出</w:t>
      </w:r>
      <w:r w:rsidR="00F61BB7">
        <w:rPr>
          <w:rFonts w:ascii="仿宋" w:eastAsia="仿宋" w:hAnsi="仿宋" w:hint="eastAsia"/>
        </w:rPr>
        <w:t>（2016年统计数据缺失）</w:t>
      </w:r>
      <w:r w:rsidRPr="00A36F9A">
        <w:rPr>
          <w:rFonts w:ascii="仿宋" w:eastAsia="仿宋" w:hAnsi="仿宋" w:hint="eastAsia"/>
        </w:rPr>
        <w:t>。</w:t>
      </w:r>
    </w:p>
    <w:p w:rsidR="00A36F9A" w:rsidRPr="00A36F9A" w:rsidRDefault="00A36F9A" w:rsidP="00C95667">
      <w:pPr>
        <w:spacing w:line="360" w:lineRule="auto"/>
        <w:ind w:firstLineChars="200" w:firstLine="420"/>
      </w:pPr>
      <w:r w:rsidRPr="00A36F9A">
        <w:rPr>
          <w:rFonts w:hint="eastAsia"/>
        </w:rPr>
        <w:t>如</w:t>
      </w:r>
      <w:r>
        <w:rPr>
          <w:rFonts w:hint="eastAsia"/>
        </w:rPr>
        <w:t>图</w:t>
      </w:r>
      <w:r>
        <w:rPr>
          <w:rFonts w:hint="eastAsia"/>
        </w:rPr>
        <w:t>3</w:t>
      </w:r>
      <w:r>
        <w:rPr>
          <w:rFonts w:hint="eastAsia"/>
        </w:rPr>
        <w:t>所示，</w:t>
      </w:r>
      <w:r>
        <w:rPr>
          <w:rFonts w:hint="eastAsia"/>
        </w:rPr>
        <w:t>2006-2015</w:t>
      </w:r>
      <w:r>
        <w:rPr>
          <w:rFonts w:hint="eastAsia"/>
        </w:rPr>
        <w:t>年</w:t>
      </w:r>
      <w:r w:rsidR="0001453B">
        <w:rPr>
          <w:rFonts w:hint="eastAsia"/>
        </w:rPr>
        <w:t>不同地区的入境旅游人均消费皆呈上升趋势，</w:t>
      </w:r>
      <w:r w:rsidR="00C92295">
        <w:rPr>
          <w:rFonts w:hint="eastAsia"/>
        </w:rPr>
        <w:t xml:space="preserve"> </w:t>
      </w:r>
      <w:r w:rsidR="007C3574">
        <w:rPr>
          <w:rFonts w:hint="eastAsia"/>
        </w:rPr>
        <w:t>2006</w:t>
      </w:r>
      <w:r w:rsidR="007C3574">
        <w:rPr>
          <w:rFonts w:hint="eastAsia"/>
        </w:rPr>
        <w:t>年</w:t>
      </w:r>
      <w:r w:rsidR="00C92295">
        <w:rPr>
          <w:rFonts w:hint="eastAsia"/>
        </w:rPr>
        <w:t>华北</w:t>
      </w:r>
      <w:r w:rsidR="007C3574">
        <w:rPr>
          <w:rFonts w:hint="eastAsia"/>
        </w:rPr>
        <w:t>、华东、华南和西部</w:t>
      </w:r>
      <w:r w:rsidR="00B859CB">
        <w:rPr>
          <w:rFonts w:hint="eastAsia"/>
        </w:rPr>
        <w:t>地区入境旅游人均花费</w:t>
      </w:r>
      <w:r w:rsidR="007C3574">
        <w:rPr>
          <w:rFonts w:hint="eastAsia"/>
        </w:rPr>
        <w:t>为</w:t>
      </w:r>
      <w:r w:rsidR="0015531A">
        <w:rPr>
          <w:rFonts w:hint="eastAsia"/>
        </w:rPr>
        <w:t>246.09</w:t>
      </w:r>
      <w:r w:rsidR="0015531A">
        <w:rPr>
          <w:rFonts w:hint="eastAsia"/>
        </w:rPr>
        <w:t>美元</w:t>
      </w:r>
      <w:r w:rsidR="0015531A">
        <w:rPr>
          <w:rFonts w:hint="eastAsia"/>
        </w:rPr>
        <w:t>/</w:t>
      </w:r>
      <w:r w:rsidR="0015531A">
        <w:rPr>
          <w:rFonts w:hint="eastAsia"/>
        </w:rPr>
        <w:t>天</w:t>
      </w:r>
      <w:r w:rsidR="0061372F">
        <w:rPr>
          <w:rFonts w:hint="eastAsia"/>
        </w:rPr>
        <w:t>、</w:t>
      </w:r>
      <w:r w:rsidR="0061372F">
        <w:rPr>
          <w:rFonts w:hint="eastAsia"/>
        </w:rPr>
        <w:t>233.21</w:t>
      </w:r>
      <w:r w:rsidR="0061372F">
        <w:rPr>
          <w:rFonts w:hint="eastAsia"/>
        </w:rPr>
        <w:t>美元</w:t>
      </w:r>
      <w:r w:rsidR="0061372F">
        <w:rPr>
          <w:rFonts w:hint="eastAsia"/>
        </w:rPr>
        <w:t>/</w:t>
      </w:r>
      <w:r w:rsidR="0061372F">
        <w:rPr>
          <w:rFonts w:hint="eastAsia"/>
        </w:rPr>
        <w:t>天、</w:t>
      </w:r>
      <w:r w:rsidR="0061372F">
        <w:rPr>
          <w:rFonts w:hint="eastAsia"/>
        </w:rPr>
        <w:t>174.98</w:t>
      </w:r>
      <w:r w:rsidR="0061372F">
        <w:rPr>
          <w:rFonts w:hint="eastAsia"/>
        </w:rPr>
        <w:t>美元</w:t>
      </w:r>
      <w:r w:rsidR="0061372F">
        <w:rPr>
          <w:rFonts w:hint="eastAsia"/>
        </w:rPr>
        <w:t>/</w:t>
      </w:r>
      <w:r w:rsidR="0061372F">
        <w:rPr>
          <w:rFonts w:hint="eastAsia"/>
        </w:rPr>
        <w:t>天和</w:t>
      </w:r>
      <w:r w:rsidR="0061372F">
        <w:rPr>
          <w:rFonts w:hint="eastAsia"/>
        </w:rPr>
        <w:t>150.94</w:t>
      </w:r>
      <w:r w:rsidR="0061372F">
        <w:rPr>
          <w:rFonts w:hint="eastAsia"/>
        </w:rPr>
        <w:t>美元</w:t>
      </w:r>
      <w:r w:rsidR="0061372F">
        <w:rPr>
          <w:rFonts w:hint="eastAsia"/>
        </w:rPr>
        <w:t>/</w:t>
      </w:r>
      <w:r w:rsidR="0061372F">
        <w:rPr>
          <w:rFonts w:hint="eastAsia"/>
        </w:rPr>
        <w:t>天，</w:t>
      </w:r>
      <w:r w:rsidR="0061372F">
        <w:rPr>
          <w:rFonts w:hint="eastAsia"/>
        </w:rPr>
        <w:t>20</w:t>
      </w:r>
      <w:r w:rsidR="005B1C48">
        <w:rPr>
          <w:rFonts w:hint="eastAsia"/>
        </w:rPr>
        <w:t>15</w:t>
      </w:r>
      <w:r w:rsidR="0061372F">
        <w:rPr>
          <w:rFonts w:hint="eastAsia"/>
        </w:rPr>
        <w:t>年华北、华东、华南和西部地区入境旅游人均花费皆</w:t>
      </w:r>
      <w:r w:rsidR="0015531A">
        <w:rPr>
          <w:rFonts w:hint="eastAsia"/>
        </w:rPr>
        <w:t>上升</w:t>
      </w:r>
      <w:r w:rsidR="0061372F">
        <w:rPr>
          <w:rFonts w:hint="eastAsia"/>
        </w:rPr>
        <w:t>为</w:t>
      </w:r>
      <w:r w:rsidR="0015531A">
        <w:rPr>
          <w:rFonts w:hint="eastAsia"/>
        </w:rPr>
        <w:t>272.67</w:t>
      </w:r>
      <w:r w:rsidR="0015531A">
        <w:rPr>
          <w:rFonts w:hint="eastAsia"/>
        </w:rPr>
        <w:t>美元</w:t>
      </w:r>
      <w:r w:rsidR="0015531A">
        <w:rPr>
          <w:rFonts w:hint="eastAsia"/>
        </w:rPr>
        <w:t>/</w:t>
      </w:r>
      <w:r w:rsidR="0015531A">
        <w:rPr>
          <w:rFonts w:hint="eastAsia"/>
        </w:rPr>
        <w:t>天</w:t>
      </w:r>
      <w:r w:rsidR="005B1C48">
        <w:rPr>
          <w:rFonts w:hint="eastAsia"/>
        </w:rPr>
        <w:t>、</w:t>
      </w:r>
      <w:r w:rsidR="00A7463B">
        <w:rPr>
          <w:rFonts w:hint="eastAsia"/>
        </w:rPr>
        <w:t>259.58</w:t>
      </w:r>
      <w:r w:rsidR="00A7463B">
        <w:rPr>
          <w:rFonts w:hint="eastAsia"/>
        </w:rPr>
        <w:t>美元</w:t>
      </w:r>
      <w:r w:rsidR="00A7463B">
        <w:rPr>
          <w:rFonts w:hint="eastAsia"/>
        </w:rPr>
        <w:t>/</w:t>
      </w:r>
      <w:r w:rsidR="00A7463B">
        <w:rPr>
          <w:rFonts w:hint="eastAsia"/>
        </w:rPr>
        <w:t>天</w:t>
      </w:r>
      <w:r w:rsidR="005B1C48">
        <w:rPr>
          <w:rFonts w:hint="eastAsia"/>
        </w:rPr>
        <w:t>、</w:t>
      </w:r>
      <w:r w:rsidR="00DD0CEA">
        <w:rPr>
          <w:rFonts w:hint="eastAsia"/>
        </w:rPr>
        <w:t>192.94</w:t>
      </w:r>
      <w:r w:rsidR="00DD0CEA">
        <w:rPr>
          <w:rFonts w:hint="eastAsia"/>
        </w:rPr>
        <w:t>美元</w:t>
      </w:r>
      <w:r w:rsidR="00DD0CEA">
        <w:rPr>
          <w:rFonts w:hint="eastAsia"/>
        </w:rPr>
        <w:t>/</w:t>
      </w:r>
      <w:r w:rsidR="00DD0CEA">
        <w:rPr>
          <w:rFonts w:hint="eastAsia"/>
        </w:rPr>
        <w:t>天</w:t>
      </w:r>
      <w:r w:rsidR="005B1C48">
        <w:rPr>
          <w:rFonts w:hint="eastAsia"/>
        </w:rPr>
        <w:t>和</w:t>
      </w:r>
      <w:r w:rsidR="00DD0CEA">
        <w:rPr>
          <w:rFonts w:hint="eastAsia"/>
        </w:rPr>
        <w:t>173.5</w:t>
      </w:r>
      <w:r w:rsidR="00DD0CEA">
        <w:rPr>
          <w:rFonts w:hint="eastAsia"/>
        </w:rPr>
        <w:t>美元</w:t>
      </w:r>
      <w:r w:rsidR="00DD0CEA">
        <w:rPr>
          <w:rFonts w:hint="eastAsia"/>
        </w:rPr>
        <w:t>/</w:t>
      </w:r>
      <w:r w:rsidR="00DD0CEA">
        <w:rPr>
          <w:rFonts w:hint="eastAsia"/>
        </w:rPr>
        <w:t>天</w:t>
      </w:r>
      <w:r w:rsidR="00E510B4">
        <w:rPr>
          <w:rFonts w:hint="eastAsia"/>
        </w:rPr>
        <w:t>；</w:t>
      </w:r>
      <w:r w:rsidR="00C92295">
        <w:rPr>
          <w:rFonts w:hint="eastAsia"/>
        </w:rPr>
        <w:t>西部地区是四个地区中唯一一个入境旅游人均消费稳步上升的地区；</w:t>
      </w:r>
      <w:r w:rsidR="003A399F">
        <w:rPr>
          <w:rFonts w:hint="eastAsia"/>
        </w:rPr>
        <w:t>同时，华北与华南地区入境旅游人均消费显著地大于华南与西部地区</w:t>
      </w:r>
      <w:r w:rsidR="00155EC3">
        <w:rPr>
          <w:rFonts w:hint="eastAsia"/>
        </w:rPr>
        <w:t>，</w:t>
      </w:r>
      <w:r w:rsidR="00AC72D2">
        <w:rPr>
          <w:rFonts w:hint="eastAsia"/>
        </w:rPr>
        <w:t>这与西部地区宏观经济发展水平息息相关，</w:t>
      </w:r>
      <w:r w:rsidR="00155EC3">
        <w:rPr>
          <w:rFonts w:hint="eastAsia"/>
        </w:rPr>
        <w:t>但西部地区入境旅游人均消费</w:t>
      </w:r>
      <w:r w:rsidR="006F3920">
        <w:rPr>
          <w:rFonts w:hint="eastAsia"/>
        </w:rPr>
        <w:t>2015</w:t>
      </w:r>
      <w:r w:rsidR="006F3920">
        <w:rPr>
          <w:rFonts w:hint="eastAsia"/>
        </w:rPr>
        <w:t>年相较于</w:t>
      </w:r>
      <w:r w:rsidR="006F3920">
        <w:rPr>
          <w:rFonts w:hint="eastAsia"/>
        </w:rPr>
        <w:t>2006</w:t>
      </w:r>
      <w:r w:rsidR="006F3920">
        <w:rPr>
          <w:rFonts w:hint="eastAsia"/>
        </w:rPr>
        <w:t>年增长了</w:t>
      </w:r>
      <w:r w:rsidR="006F3920">
        <w:rPr>
          <w:rFonts w:hint="eastAsia"/>
        </w:rPr>
        <w:t>14.94%</w:t>
      </w:r>
      <w:r w:rsidR="006F3920">
        <w:rPr>
          <w:rFonts w:hint="eastAsia"/>
        </w:rPr>
        <w:t>，</w:t>
      </w:r>
      <w:r w:rsidR="00C95667">
        <w:rPr>
          <w:rFonts w:hint="eastAsia"/>
        </w:rPr>
        <w:t>这一比率大于</w:t>
      </w:r>
      <w:r w:rsidR="006F3920">
        <w:rPr>
          <w:rFonts w:hint="eastAsia"/>
        </w:rPr>
        <w:t>华北</w:t>
      </w:r>
      <w:r w:rsidR="00C95667">
        <w:rPr>
          <w:rFonts w:hint="eastAsia"/>
        </w:rPr>
        <w:t>（</w:t>
      </w:r>
      <w:r w:rsidR="00C95667">
        <w:rPr>
          <w:rFonts w:hint="eastAsia"/>
        </w:rPr>
        <w:t>10.80%</w:t>
      </w:r>
      <w:r w:rsidR="00C95667">
        <w:rPr>
          <w:rFonts w:hint="eastAsia"/>
        </w:rPr>
        <w:t>）</w:t>
      </w:r>
      <w:r w:rsidR="006F3920">
        <w:rPr>
          <w:rFonts w:hint="eastAsia"/>
        </w:rPr>
        <w:t>、华东</w:t>
      </w:r>
      <w:r w:rsidR="00C95667">
        <w:rPr>
          <w:rFonts w:hint="eastAsia"/>
        </w:rPr>
        <w:t>（</w:t>
      </w:r>
      <w:r w:rsidR="00C95667">
        <w:rPr>
          <w:rFonts w:hint="eastAsia"/>
        </w:rPr>
        <w:t>11.31%</w:t>
      </w:r>
      <w:r w:rsidR="00C95667">
        <w:rPr>
          <w:rFonts w:hint="eastAsia"/>
        </w:rPr>
        <w:t>）</w:t>
      </w:r>
      <w:r w:rsidR="006F3920">
        <w:rPr>
          <w:rFonts w:hint="eastAsia"/>
        </w:rPr>
        <w:t>与华南</w:t>
      </w:r>
      <w:r w:rsidR="00C95667">
        <w:rPr>
          <w:rFonts w:hint="eastAsia"/>
        </w:rPr>
        <w:t>（</w:t>
      </w:r>
      <w:r w:rsidR="00C95667">
        <w:rPr>
          <w:rFonts w:hint="eastAsia"/>
        </w:rPr>
        <w:t>10.26%</w:t>
      </w:r>
      <w:r w:rsidR="00C95667">
        <w:rPr>
          <w:rFonts w:hint="eastAsia"/>
        </w:rPr>
        <w:t>）地区。</w:t>
      </w:r>
    </w:p>
    <w:p w:rsidR="00E70B82" w:rsidRPr="00B34920" w:rsidRDefault="000A4C50" w:rsidP="007E5BE2">
      <w:pPr>
        <w:spacing w:line="360" w:lineRule="auto"/>
        <w:ind w:firstLineChars="196" w:firstLine="413"/>
        <w:outlineLvl w:val="0"/>
        <w:rPr>
          <w:rFonts w:eastAsia="宋体" w:hAnsi="Calibri" w:cs="Times New Roman"/>
          <w:b/>
        </w:rPr>
      </w:pPr>
      <w:r>
        <w:rPr>
          <w:rFonts w:eastAsia="宋体" w:hAnsi="Calibri" w:cs="Times New Roman" w:hint="eastAsia"/>
          <w:b/>
        </w:rPr>
        <w:t>（</w:t>
      </w:r>
      <w:r>
        <w:rPr>
          <w:rFonts w:eastAsia="宋体" w:hAnsi="Calibri" w:cs="Times New Roman" w:hint="eastAsia"/>
          <w:b/>
        </w:rPr>
        <w:t>4</w:t>
      </w:r>
      <w:r>
        <w:rPr>
          <w:rFonts w:eastAsia="宋体" w:hAnsi="Calibri" w:cs="Times New Roman" w:hint="eastAsia"/>
          <w:b/>
        </w:rPr>
        <w:t>）</w:t>
      </w:r>
      <w:r w:rsidR="00E70B82" w:rsidRPr="00B34920">
        <w:rPr>
          <w:rFonts w:eastAsia="宋体" w:hAnsi="Calibri" w:cs="Times New Roman" w:hint="eastAsia"/>
          <w:b/>
        </w:rPr>
        <w:t>西部地区入境旅游消费结构</w:t>
      </w:r>
      <w:r w:rsidR="003C04BE">
        <w:rPr>
          <w:rFonts w:eastAsia="宋体" w:hAnsi="Calibri" w:cs="Times New Roman" w:hint="eastAsia"/>
          <w:b/>
        </w:rPr>
        <w:t>质量</w:t>
      </w:r>
      <w:r w:rsidR="00E70B82" w:rsidRPr="00B34920">
        <w:rPr>
          <w:rFonts w:eastAsia="宋体" w:hAnsi="Calibri" w:cs="Times New Roman" w:hint="eastAsia"/>
          <w:b/>
        </w:rPr>
        <w:t>分析</w:t>
      </w:r>
    </w:p>
    <w:p w:rsidR="00B34920" w:rsidRDefault="00E70B82" w:rsidP="00B34920">
      <w:pPr>
        <w:ind w:firstLineChars="200" w:firstLine="420"/>
        <w:jc w:val="left"/>
      </w:pPr>
      <w:r>
        <w:rPr>
          <w:noProof/>
        </w:rPr>
        <w:drawing>
          <wp:inline distT="0" distB="0" distL="0" distR="0">
            <wp:extent cx="4572000" cy="2743200"/>
            <wp:effectExtent l="0" t="0" r="0" b="0"/>
            <wp:docPr id="5" name="图表 5">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A35C67-67A0-421C-88EF-2764F9618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10B4" w:rsidRPr="00A07B6A" w:rsidRDefault="00E510B4" w:rsidP="00A07B6A">
      <w:pPr>
        <w:ind w:firstLineChars="200" w:firstLine="422"/>
        <w:jc w:val="center"/>
        <w:rPr>
          <w:b/>
        </w:rPr>
      </w:pPr>
      <w:r w:rsidRPr="00A07B6A">
        <w:rPr>
          <w:rFonts w:hint="eastAsia"/>
          <w:b/>
        </w:rPr>
        <w:t>图</w:t>
      </w:r>
      <w:r w:rsidRPr="00A07B6A">
        <w:rPr>
          <w:rFonts w:hint="eastAsia"/>
          <w:b/>
        </w:rPr>
        <w:t>4</w:t>
      </w:r>
      <w:r w:rsidR="00A07B6A">
        <w:rPr>
          <w:rFonts w:hint="eastAsia"/>
          <w:b/>
        </w:rPr>
        <w:t xml:space="preserve"> </w:t>
      </w:r>
      <w:r w:rsidR="00A07B6A" w:rsidRPr="00A07B6A">
        <w:rPr>
          <w:rFonts w:hint="eastAsia"/>
          <w:b/>
        </w:rPr>
        <w:t xml:space="preserve"> </w:t>
      </w:r>
      <w:r w:rsidR="00A07B6A" w:rsidRPr="00A07B6A">
        <w:rPr>
          <w:b/>
        </w:rPr>
        <w:t>2009-2015</w:t>
      </w:r>
      <w:r w:rsidR="003C04BE">
        <w:rPr>
          <w:b/>
        </w:rPr>
        <w:t>年西部与全国入境旅游消费结</w:t>
      </w:r>
      <w:r w:rsidR="003C04BE">
        <w:rPr>
          <w:rFonts w:hint="eastAsia"/>
          <w:b/>
        </w:rPr>
        <w:t>质量</w:t>
      </w:r>
      <w:r w:rsidR="00A07B6A" w:rsidRPr="00A07B6A">
        <w:rPr>
          <w:b/>
        </w:rPr>
        <w:t>E</w:t>
      </w:r>
      <w:r w:rsidR="00A07B6A" w:rsidRPr="00A07B6A">
        <w:rPr>
          <w:b/>
        </w:rPr>
        <w:t>值对比</w:t>
      </w:r>
    </w:p>
    <w:p w:rsidR="00E510B4" w:rsidRPr="00207001" w:rsidRDefault="00E510B4" w:rsidP="00207001">
      <w:pPr>
        <w:ind w:firstLineChars="200" w:firstLine="420"/>
        <w:jc w:val="left"/>
        <w:rPr>
          <w:rFonts w:ascii="仿宋" w:eastAsia="仿宋" w:hAnsi="仿宋"/>
        </w:rPr>
      </w:pPr>
      <w:r w:rsidRPr="00A36F9A">
        <w:rPr>
          <w:rFonts w:ascii="仿宋" w:eastAsia="仿宋" w:hAnsi="仿宋" w:hint="eastAsia"/>
        </w:rPr>
        <w:lastRenderedPageBreak/>
        <w:t>数据来源：根据200</w:t>
      </w:r>
      <w:r w:rsidR="00A07B6A">
        <w:rPr>
          <w:rFonts w:ascii="仿宋" w:eastAsia="仿宋" w:hAnsi="仿宋" w:hint="eastAsia"/>
        </w:rPr>
        <w:t>9</w:t>
      </w:r>
      <w:r w:rsidRPr="00A36F9A">
        <w:rPr>
          <w:rFonts w:ascii="仿宋" w:eastAsia="仿宋" w:hAnsi="仿宋" w:hint="eastAsia"/>
        </w:rPr>
        <w:t>-2015年</w:t>
      </w:r>
      <w:r w:rsidR="00492E39">
        <w:rPr>
          <w:rFonts w:ascii="仿宋" w:eastAsia="仿宋" w:hAnsi="仿宋" w:hint="eastAsia"/>
        </w:rPr>
        <w:t>西部各个省区</w:t>
      </w:r>
      <w:r w:rsidRPr="00A36F9A">
        <w:rPr>
          <w:rFonts w:ascii="仿宋" w:eastAsia="仿宋" w:hAnsi="仿宋" w:hint="eastAsia"/>
        </w:rPr>
        <w:t>统计年鉴</w:t>
      </w:r>
      <w:r w:rsidR="00A07B6A">
        <w:rPr>
          <w:rFonts w:ascii="仿宋" w:eastAsia="仿宋" w:hAnsi="仿宋" w:hint="eastAsia"/>
        </w:rPr>
        <w:t>和《中国旅游统计年鉴》</w:t>
      </w:r>
      <w:r w:rsidRPr="00A36F9A">
        <w:rPr>
          <w:rFonts w:ascii="仿宋" w:eastAsia="仿宋" w:hAnsi="仿宋" w:hint="eastAsia"/>
        </w:rPr>
        <w:t>计算得出</w:t>
      </w:r>
      <w:r w:rsidR="00F61BB7">
        <w:rPr>
          <w:rFonts w:ascii="仿宋" w:eastAsia="仿宋" w:hAnsi="仿宋" w:hint="eastAsia"/>
        </w:rPr>
        <w:t>（2005-2008年和2016年统计数据缺失）</w:t>
      </w:r>
      <w:r w:rsidRPr="00A36F9A">
        <w:rPr>
          <w:rFonts w:ascii="仿宋" w:eastAsia="仿宋" w:hAnsi="仿宋" w:hint="eastAsia"/>
        </w:rPr>
        <w:t>。</w:t>
      </w:r>
    </w:p>
    <w:p w:rsidR="00B34920" w:rsidRPr="0045359A" w:rsidRDefault="00113FEE" w:rsidP="00B34920">
      <w:pPr>
        <w:spacing w:line="360" w:lineRule="auto"/>
        <w:ind w:firstLineChars="200" w:firstLine="420"/>
        <w:jc w:val="left"/>
      </w:pPr>
      <w:r w:rsidRPr="0045359A">
        <w:rPr>
          <w:rFonts w:hint="eastAsia"/>
        </w:rPr>
        <w:t>如</w:t>
      </w:r>
      <w:r w:rsidR="00207001">
        <w:rPr>
          <w:rFonts w:hint="eastAsia"/>
        </w:rPr>
        <w:t>图</w:t>
      </w:r>
      <w:r w:rsidR="00207001">
        <w:rPr>
          <w:rFonts w:hint="eastAsia"/>
        </w:rPr>
        <w:t>4</w:t>
      </w:r>
      <w:r w:rsidRPr="0045359A">
        <w:rPr>
          <w:rFonts w:hint="eastAsia"/>
        </w:rPr>
        <w:t>所示，</w:t>
      </w:r>
      <w:r w:rsidR="00464837">
        <w:rPr>
          <w:rFonts w:hint="eastAsia"/>
        </w:rPr>
        <w:t>2009</w:t>
      </w:r>
      <w:r w:rsidR="00464837">
        <w:rPr>
          <w:rFonts w:hint="eastAsia"/>
        </w:rPr>
        <w:t>年</w:t>
      </w:r>
      <w:r w:rsidR="00474665">
        <w:rPr>
          <w:rFonts w:hint="eastAsia"/>
        </w:rPr>
        <w:t>全国与</w:t>
      </w:r>
      <w:r w:rsidR="00464837">
        <w:rPr>
          <w:rFonts w:hint="eastAsia"/>
        </w:rPr>
        <w:t>西部入境旅游消费结构</w:t>
      </w:r>
      <w:r w:rsidR="003C04BE">
        <w:rPr>
          <w:rFonts w:hint="eastAsia"/>
        </w:rPr>
        <w:t>质量</w:t>
      </w:r>
      <w:r w:rsidR="005354E4">
        <w:rPr>
          <w:rFonts w:hint="eastAsia"/>
        </w:rPr>
        <w:t>指数</w:t>
      </w:r>
      <w:r w:rsidR="00464837">
        <w:rPr>
          <w:rFonts w:hint="eastAsia"/>
        </w:rPr>
        <w:t>E</w:t>
      </w:r>
      <w:r w:rsidR="00464837">
        <w:rPr>
          <w:rFonts w:hint="eastAsia"/>
        </w:rPr>
        <w:t>值</w:t>
      </w:r>
      <w:r w:rsidR="00474665">
        <w:rPr>
          <w:rFonts w:hint="eastAsia"/>
        </w:rPr>
        <w:t>分别为</w:t>
      </w:r>
      <w:r w:rsidR="00474665">
        <w:rPr>
          <w:rFonts w:hint="eastAsia"/>
        </w:rPr>
        <w:t>0.72</w:t>
      </w:r>
      <w:r w:rsidR="00474665">
        <w:rPr>
          <w:rFonts w:hint="eastAsia"/>
        </w:rPr>
        <w:t>与</w:t>
      </w:r>
      <w:r w:rsidR="00464837">
        <w:rPr>
          <w:rFonts w:hint="eastAsia"/>
        </w:rPr>
        <w:t>0.71</w:t>
      </w:r>
      <w:r w:rsidR="00464837">
        <w:rPr>
          <w:rFonts w:hint="eastAsia"/>
        </w:rPr>
        <w:t>，</w:t>
      </w:r>
      <w:r w:rsidR="00474665">
        <w:rPr>
          <w:rFonts w:hint="eastAsia"/>
        </w:rPr>
        <w:t>2015</w:t>
      </w:r>
      <w:r w:rsidR="00474665">
        <w:rPr>
          <w:rFonts w:hint="eastAsia"/>
        </w:rPr>
        <w:t>年全国与西部入境旅游消费结构</w:t>
      </w:r>
      <w:r w:rsidR="003C04BE">
        <w:rPr>
          <w:rFonts w:hint="eastAsia"/>
        </w:rPr>
        <w:t>质量</w:t>
      </w:r>
      <w:r w:rsidR="005354E4">
        <w:rPr>
          <w:rFonts w:hint="eastAsia"/>
        </w:rPr>
        <w:t>指数</w:t>
      </w:r>
      <w:r w:rsidR="00474665">
        <w:rPr>
          <w:rFonts w:hint="eastAsia"/>
        </w:rPr>
        <w:t>E</w:t>
      </w:r>
      <w:r w:rsidR="00474665">
        <w:rPr>
          <w:rFonts w:hint="eastAsia"/>
        </w:rPr>
        <w:t>值分别为</w:t>
      </w:r>
      <w:r w:rsidR="00474665">
        <w:rPr>
          <w:rFonts w:hint="eastAsia"/>
        </w:rPr>
        <w:t>0.55</w:t>
      </w:r>
      <w:r w:rsidR="00474665">
        <w:rPr>
          <w:rFonts w:hint="eastAsia"/>
        </w:rPr>
        <w:t>与</w:t>
      </w:r>
      <w:r w:rsidR="00474665">
        <w:rPr>
          <w:rFonts w:hint="eastAsia"/>
        </w:rPr>
        <w:t>0.53</w:t>
      </w:r>
      <w:r w:rsidR="004318BE">
        <w:rPr>
          <w:rFonts w:hint="eastAsia"/>
        </w:rPr>
        <w:t>，表明</w:t>
      </w:r>
      <w:r w:rsidR="00B34920" w:rsidRPr="0045359A">
        <w:rPr>
          <w:rFonts w:hint="eastAsia"/>
        </w:rPr>
        <w:t>2009-2015</w:t>
      </w:r>
      <w:r w:rsidR="00474665">
        <w:rPr>
          <w:rFonts w:hint="eastAsia"/>
        </w:rPr>
        <w:t>年西部地区入境旅游结构质量指数发展趋势与全国一致</w:t>
      </w:r>
      <w:r w:rsidR="003C04BE">
        <w:rPr>
          <w:rFonts w:hint="eastAsia"/>
        </w:rPr>
        <w:t>；</w:t>
      </w:r>
      <w:r w:rsidR="004318BE">
        <w:rPr>
          <w:rFonts w:hint="eastAsia"/>
        </w:rPr>
        <w:t>全国与西部地区的入境旅游</w:t>
      </w:r>
      <w:r w:rsidR="003C04BE">
        <w:rPr>
          <w:rFonts w:hint="eastAsia"/>
        </w:rPr>
        <w:t>消费结构质量</w:t>
      </w:r>
      <w:r w:rsidR="003C04BE">
        <w:rPr>
          <w:rFonts w:hint="eastAsia"/>
        </w:rPr>
        <w:t>E</w:t>
      </w:r>
      <w:r w:rsidR="003C04BE">
        <w:rPr>
          <w:rFonts w:hint="eastAsia"/>
        </w:rPr>
        <w:t>在</w:t>
      </w:r>
      <w:r w:rsidR="003C04BE">
        <w:rPr>
          <w:rFonts w:hint="eastAsia"/>
        </w:rPr>
        <w:t>2009-2015</w:t>
      </w:r>
      <w:r w:rsidR="003C04BE">
        <w:rPr>
          <w:rFonts w:hint="eastAsia"/>
        </w:rPr>
        <w:t>年都小于</w:t>
      </w:r>
      <w:r w:rsidR="003C04BE">
        <w:rPr>
          <w:rFonts w:hint="eastAsia"/>
        </w:rPr>
        <w:t>1</w:t>
      </w:r>
      <w:r w:rsidR="003C04BE">
        <w:rPr>
          <w:rFonts w:hint="eastAsia"/>
        </w:rPr>
        <w:t>，且呈下降趋势，表明</w:t>
      </w:r>
      <w:r w:rsidR="0093200B">
        <w:rPr>
          <w:rFonts w:hint="eastAsia"/>
        </w:rPr>
        <w:t>全国（平均水平）与西部地区入境旅游</w:t>
      </w:r>
      <w:r w:rsidR="004318BE">
        <w:rPr>
          <w:rFonts w:hint="eastAsia"/>
        </w:rPr>
        <w:t>消费结构中</w:t>
      </w:r>
      <w:r w:rsidR="0093200B">
        <w:rPr>
          <w:rFonts w:hint="eastAsia"/>
        </w:rPr>
        <w:t>基本消费</w:t>
      </w:r>
      <w:r w:rsidR="004318BE">
        <w:rPr>
          <w:rFonts w:hint="eastAsia"/>
        </w:rPr>
        <w:t>占比越来越大</w:t>
      </w:r>
      <w:r w:rsidR="00474665">
        <w:rPr>
          <w:rFonts w:hint="eastAsia"/>
        </w:rPr>
        <w:t>；</w:t>
      </w:r>
      <w:r w:rsidR="00163B9F">
        <w:rPr>
          <w:rFonts w:hint="eastAsia"/>
        </w:rPr>
        <w:t>虽然，</w:t>
      </w:r>
      <w:r w:rsidR="00163B9F">
        <w:rPr>
          <w:rFonts w:hint="eastAsia"/>
        </w:rPr>
        <w:t>2009-2015</w:t>
      </w:r>
      <w:r w:rsidR="00163B9F">
        <w:rPr>
          <w:rFonts w:hint="eastAsia"/>
        </w:rPr>
        <w:t>年间</w:t>
      </w:r>
      <w:r w:rsidR="005354E4">
        <w:rPr>
          <w:rFonts w:hint="eastAsia"/>
        </w:rPr>
        <w:t>西部地区</w:t>
      </w:r>
      <w:r w:rsidR="00163B9F">
        <w:rPr>
          <w:rFonts w:hint="eastAsia"/>
        </w:rPr>
        <w:t>入境旅游消费结构</w:t>
      </w:r>
      <w:r w:rsidR="003C04BE">
        <w:rPr>
          <w:rFonts w:hint="eastAsia"/>
        </w:rPr>
        <w:t>质量</w:t>
      </w:r>
      <w:r w:rsidR="005354E4">
        <w:rPr>
          <w:rFonts w:hint="eastAsia"/>
        </w:rPr>
        <w:t>指数</w:t>
      </w:r>
      <w:r w:rsidR="00B34920" w:rsidRPr="0045359A">
        <w:rPr>
          <w:rFonts w:hint="eastAsia"/>
        </w:rPr>
        <w:t>E</w:t>
      </w:r>
      <w:r w:rsidR="00B34920" w:rsidRPr="0045359A">
        <w:rPr>
          <w:rFonts w:hint="eastAsia"/>
        </w:rPr>
        <w:t>值小于全国平均水平，但差距逐渐缩小，至</w:t>
      </w:r>
      <w:r w:rsidR="00B34920" w:rsidRPr="0045359A">
        <w:rPr>
          <w:rFonts w:hint="eastAsia"/>
        </w:rPr>
        <w:t>2015</w:t>
      </w:r>
      <w:r w:rsidR="00B34920" w:rsidRPr="0045359A">
        <w:rPr>
          <w:rFonts w:hint="eastAsia"/>
        </w:rPr>
        <w:t>年差距仅为</w:t>
      </w:r>
      <w:r w:rsidR="00B34920" w:rsidRPr="0045359A">
        <w:rPr>
          <w:rFonts w:hint="eastAsia"/>
        </w:rPr>
        <w:t>2</w:t>
      </w:r>
      <w:r w:rsidR="00B34920" w:rsidRPr="0045359A">
        <w:rPr>
          <w:rFonts w:hint="eastAsia"/>
        </w:rPr>
        <w:t>个百分点</w:t>
      </w:r>
      <w:r w:rsidR="00E809C4">
        <w:rPr>
          <w:rFonts w:hint="eastAsia"/>
        </w:rPr>
        <w:t>。</w:t>
      </w:r>
    </w:p>
    <w:p w:rsidR="00E70B82" w:rsidRDefault="000A4C50" w:rsidP="007E5BE2">
      <w:pPr>
        <w:spacing w:line="360" w:lineRule="auto"/>
        <w:ind w:firstLineChars="147" w:firstLine="310"/>
        <w:outlineLvl w:val="0"/>
        <w:rPr>
          <w:rFonts w:eastAsia="宋体" w:hAnsi="Calibri" w:cs="Times New Roman"/>
          <w:b/>
        </w:rPr>
      </w:pPr>
      <w:r>
        <w:rPr>
          <w:rFonts w:eastAsia="宋体" w:hAnsi="Calibri" w:cs="Times New Roman" w:hint="eastAsia"/>
          <w:b/>
        </w:rPr>
        <w:t>（</w:t>
      </w:r>
      <w:r w:rsidRPr="00B34920">
        <w:rPr>
          <w:rFonts w:eastAsia="宋体" w:hAnsi="Calibri" w:cs="Times New Roman" w:hint="eastAsia"/>
          <w:b/>
        </w:rPr>
        <w:t>5</w:t>
      </w:r>
      <w:r>
        <w:rPr>
          <w:rFonts w:eastAsia="宋体" w:hAnsi="Calibri" w:cs="Times New Roman" w:hint="eastAsia"/>
          <w:b/>
        </w:rPr>
        <w:t>）</w:t>
      </w:r>
      <w:r w:rsidR="00E70B82" w:rsidRPr="00B34920">
        <w:rPr>
          <w:rFonts w:eastAsia="宋体" w:hAnsi="Calibri" w:cs="Times New Roman" w:hint="eastAsia"/>
          <w:b/>
        </w:rPr>
        <w:t>西部地区入境旅游客源结构质量分析</w:t>
      </w:r>
    </w:p>
    <w:p w:rsidR="00B84E63" w:rsidRPr="00B84E63" w:rsidRDefault="000A4C50" w:rsidP="007E5BE2">
      <w:pPr>
        <w:spacing w:line="360" w:lineRule="auto"/>
        <w:ind w:firstLineChars="200" w:firstLine="420"/>
        <w:rPr>
          <w:rFonts w:eastAsia="宋体" w:hAnsi="Calibri" w:cs="Times New Roman"/>
        </w:rPr>
      </w:pPr>
      <w:r>
        <w:rPr>
          <w:rFonts w:eastAsia="宋体" w:hAnsi="Calibri" w:cs="Times New Roman" w:hint="eastAsia"/>
        </w:rPr>
        <w:t>1</w:t>
      </w:r>
      <w:r>
        <w:rPr>
          <w:rFonts w:eastAsia="宋体" w:hAnsi="Calibri" w:cs="Times New Roman" w:hint="eastAsia"/>
        </w:rPr>
        <w:t>）</w:t>
      </w:r>
      <w:r w:rsidR="00B84E63" w:rsidRPr="00B84E63">
        <w:rPr>
          <w:rFonts w:eastAsia="宋体" w:hAnsi="Calibri" w:cs="Times New Roman" w:hint="eastAsia"/>
        </w:rPr>
        <w:t>入境港澳台与外国游客结构质量分析</w:t>
      </w:r>
    </w:p>
    <w:p w:rsidR="00BF4679" w:rsidRDefault="00E70B82" w:rsidP="00B84E63">
      <w:pPr>
        <w:ind w:firstLineChars="200" w:firstLine="420"/>
      </w:pPr>
      <w:r>
        <w:rPr>
          <w:noProof/>
        </w:rPr>
        <w:drawing>
          <wp:inline distT="0" distB="0" distL="0" distR="0">
            <wp:extent cx="4571999" cy="2743199"/>
            <wp:effectExtent l="0" t="0" r="635" b="635"/>
            <wp:docPr id="4" name="图表 4">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647A5B-703D-49D7-AF47-38BA5AB7E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238FE" w:rsidRPr="003238FE" w:rsidRDefault="003238FE" w:rsidP="003238FE">
      <w:pPr>
        <w:ind w:firstLineChars="200" w:firstLine="422"/>
        <w:jc w:val="center"/>
        <w:rPr>
          <w:b/>
        </w:rPr>
      </w:pPr>
      <w:r w:rsidRPr="003238FE">
        <w:rPr>
          <w:rFonts w:hint="eastAsia"/>
          <w:b/>
        </w:rPr>
        <w:t>图</w:t>
      </w:r>
      <w:r>
        <w:rPr>
          <w:rFonts w:hint="eastAsia"/>
          <w:b/>
        </w:rPr>
        <w:t>5</w:t>
      </w:r>
      <w:r w:rsidRPr="003238FE">
        <w:rPr>
          <w:rFonts w:hint="eastAsia"/>
          <w:b/>
        </w:rPr>
        <w:t xml:space="preserve">  2006-201</w:t>
      </w:r>
      <w:r w:rsidR="006716C7">
        <w:rPr>
          <w:rFonts w:hint="eastAsia"/>
          <w:b/>
        </w:rPr>
        <w:t>5</w:t>
      </w:r>
      <w:r w:rsidRPr="003238FE">
        <w:rPr>
          <w:rFonts w:hint="eastAsia"/>
          <w:b/>
        </w:rPr>
        <w:t>年不同地区入境港澳台与外国游客结构</w:t>
      </w:r>
      <w:r w:rsidR="00D82609">
        <w:rPr>
          <w:rFonts w:hint="eastAsia"/>
          <w:b/>
        </w:rPr>
        <w:t>质量</w:t>
      </w:r>
      <w:r w:rsidRPr="003238FE">
        <w:rPr>
          <w:rFonts w:hint="eastAsia"/>
          <w:b/>
        </w:rPr>
        <w:t>Q</w:t>
      </w:r>
      <w:r w:rsidRPr="003238FE">
        <w:rPr>
          <w:rFonts w:hint="eastAsia"/>
          <w:b/>
        </w:rPr>
        <w:t>值对比</w:t>
      </w:r>
    </w:p>
    <w:p w:rsidR="00492E39" w:rsidRPr="00492E39" w:rsidRDefault="00492E39" w:rsidP="00492E39">
      <w:pPr>
        <w:ind w:firstLineChars="200" w:firstLine="420"/>
        <w:jc w:val="left"/>
        <w:rPr>
          <w:rFonts w:ascii="仿宋" w:eastAsia="仿宋" w:hAnsi="仿宋"/>
        </w:rPr>
      </w:pPr>
      <w:r w:rsidRPr="00A36F9A">
        <w:rPr>
          <w:rFonts w:ascii="仿宋" w:eastAsia="仿宋" w:hAnsi="仿宋" w:hint="eastAsia"/>
        </w:rPr>
        <w:t>数据来源：根据200</w:t>
      </w:r>
      <w:r>
        <w:rPr>
          <w:rFonts w:ascii="仿宋" w:eastAsia="仿宋" w:hAnsi="仿宋" w:hint="eastAsia"/>
        </w:rPr>
        <w:t>6</w:t>
      </w:r>
      <w:r w:rsidRPr="00A36F9A">
        <w:rPr>
          <w:rFonts w:ascii="仿宋" w:eastAsia="仿宋" w:hAnsi="仿宋" w:hint="eastAsia"/>
        </w:rPr>
        <w:t>-2015年</w:t>
      </w:r>
      <w:r>
        <w:rPr>
          <w:rFonts w:ascii="仿宋" w:eastAsia="仿宋" w:hAnsi="仿宋" w:hint="eastAsia"/>
        </w:rPr>
        <w:t>各个地区</w:t>
      </w:r>
      <w:r w:rsidRPr="00A36F9A">
        <w:rPr>
          <w:rFonts w:ascii="仿宋" w:eastAsia="仿宋" w:hAnsi="仿宋" w:hint="eastAsia"/>
        </w:rPr>
        <w:t>统计年鉴</w:t>
      </w:r>
      <w:r>
        <w:rPr>
          <w:rFonts w:ascii="仿宋" w:eastAsia="仿宋" w:hAnsi="仿宋" w:hint="eastAsia"/>
        </w:rPr>
        <w:t>和《中国旅游统计年鉴》</w:t>
      </w:r>
      <w:r w:rsidRPr="00A36F9A">
        <w:rPr>
          <w:rFonts w:ascii="仿宋" w:eastAsia="仿宋" w:hAnsi="仿宋" w:hint="eastAsia"/>
        </w:rPr>
        <w:t>计算得出</w:t>
      </w:r>
      <w:r w:rsidR="00FC51E8">
        <w:rPr>
          <w:rFonts w:ascii="仿宋" w:eastAsia="仿宋" w:hAnsi="仿宋" w:hint="eastAsia"/>
        </w:rPr>
        <w:t>（2016年统计数据缺失）</w:t>
      </w:r>
      <w:r w:rsidRPr="00A36F9A">
        <w:rPr>
          <w:rFonts w:ascii="仿宋" w:eastAsia="仿宋" w:hAnsi="仿宋" w:hint="eastAsia"/>
        </w:rPr>
        <w:t>。</w:t>
      </w:r>
    </w:p>
    <w:p w:rsidR="00720175" w:rsidRPr="003A227A" w:rsidRDefault="00720175" w:rsidP="003A227A">
      <w:pPr>
        <w:spacing w:line="360" w:lineRule="auto"/>
        <w:ind w:firstLineChars="200" w:firstLine="420"/>
      </w:pPr>
      <w:r w:rsidRPr="003A227A">
        <w:rPr>
          <w:rFonts w:hint="eastAsia"/>
        </w:rPr>
        <w:t>如图</w:t>
      </w:r>
      <w:r w:rsidRPr="003A227A">
        <w:rPr>
          <w:rFonts w:hint="eastAsia"/>
        </w:rPr>
        <w:t>5</w:t>
      </w:r>
      <w:r w:rsidRPr="003A227A">
        <w:rPr>
          <w:rFonts w:hint="eastAsia"/>
        </w:rPr>
        <w:t>所示，</w:t>
      </w:r>
      <w:r w:rsidR="00D82609" w:rsidRPr="003A227A">
        <w:rPr>
          <w:rFonts w:hint="eastAsia"/>
        </w:rPr>
        <w:t>2006</w:t>
      </w:r>
      <w:r w:rsidR="00D82609" w:rsidRPr="003A227A">
        <w:rPr>
          <w:rFonts w:hint="eastAsia"/>
        </w:rPr>
        <w:t>年全国</w:t>
      </w:r>
      <w:r w:rsidR="0059324E">
        <w:rPr>
          <w:rFonts w:hint="eastAsia"/>
        </w:rPr>
        <w:t>、</w:t>
      </w:r>
      <w:r w:rsidR="0059324E" w:rsidRPr="003A227A">
        <w:rPr>
          <w:rFonts w:hint="eastAsia"/>
        </w:rPr>
        <w:t>华北</w:t>
      </w:r>
      <w:r w:rsidR="0059324E">
        <w:rPr>
          <w:rFonts w:hint="eastAsia"/>
        </w:rPr>
        <w:t>、</w:t>
      </w:r>
      <w:r w:rsidR="0059324E" w:rsidRPr="003A227A">
        <w:rPr>
          <w:rFonts w:hint="eastAsia"/>
        </w:rPr>
        <w:t>华南</w:t>
      </w:r>
      <w:r w:rsidR="00385499">
        <w:rPr>
          <w:rFonts w:hint="eastAsia"/>
        </w:rPr>
        <w:t>、华东</w:t>
      </w:r>
      <w:r w:rsidR="0059324E">
        <w:rPr>
          <w:rFonts w:hint="eastAsia"/>
        </w:rPr>
        <w:t>与西部</w:t>
      </w:r>
      <w:r w:rsidR="00D82609" w:rsidRPr="003A227A">
        <w:rPr>
          <w:rFonts w:hint="eastAsia"/>
        </w:rPr>
        <w:t>入境港澳台与外国游客结构质量</w:t>
      </w:r>
      <w:r w:rsidR="0059324E">
        <w:rPr>
          <w:rFonts w:hint="eastAsia"/>
        </w:rPr>
        <w:t>指数</w:t>
      </w:r>
      <w:r w:rsidR="00D82609" w:rsidRPr="003A227A">
        <w:rPr>
          <w:rFonts w:hint="eastAsia"/>
        </w:rPr>
        <w:t>Q</w:t>
      </w:r>
      <w:r w:rsidR="00D82609" w:rsidRPr="003A227A">
        <w:rPr>
          <w:rFonts w:hint="eastAsia"/>
        </w:rPr>
        <w:t>值为</w:t>
      </w:r>
      <w:r w:rsidR="00D82609" w:rsidRPr="003A227A">
        <w:rPr>
          <w:rFonts w:hint="eastAsia"/>
        </w:rPr>
        <w:t>4.62</w:t>
      </w:r>
      <w:r w:rsidR="00385499">
        <w:rPr>
          <w:rFonts w:hint="eastAsia"/>
        </w:rPr>
        <w:t>、</w:t>
      </w:r>
      <w:r w:rsidR="00385499" w:rsidRPr="003A227A">
        <w:rPr>
          <w:rFonts w:hint="eastAsia"/>
        </w:rPr>
        <w:t>0.15</w:t>
      </w:r>
      <w:r w:rsidR="00385499">
        <w:rPr>
          <w:rFonts w:hint="eastAsia"/>
        </w:rPr>
        <w:t>、</w:t>
      </w:r>
      <w:r w:rsidR="00385499" w:rsidRPr="003A227A">
        <w:rPr>
          <w:rFonts w:hint="eastAsia"/>
        </w:rPr>
        <w:t>0.63</w:t>
      </w:r>
      <w:r w:rsidR="004B31B9">
        <w:rPr>
          <w:rFonts w:hint="eastAsia"/>
        </w:rPr>
        <w:t>、</w:t>
      </w:r>
      <w:r w:rsidR="004B31B9">
        <w:rPr>
          <w:rFonts w:hint="eastAsia"/>
        </w:rPr>
        <w:t>0.34</w:t>
      </w:r>
      <w:r w:rsidR="004B31B9">
        <w:rPr>
          <w:rFonts w:hint="eastAsia"/>
        </w:rPr>
        <w:t>和</w:t>
      </w:r>
      <w:r w:rsidR="004B31B9">
        <w:rPr>
          <w:rFonts w:hint="eastAsia"/>
        </w:rPr>
        <w:t>0.42</w:t>
      </w:r>
      <w:r w:rsidR="004B31B9">
        <w:rPr>
          <w:rFonts w:hint="eastAsia"/>
        </w:rPr>
        <w:t>，</w:t>
      </w:r>
      <w:r w:rsidR="00D82609" w:rsidRPr="003A227A">
        <w:rPr>
          <w:rFonts w:hint="eastAsia"/>
        </w:rPr>
        <w:t>2015</w:t>
      </w:r>
      <w:r w:rsidR="00D82609" w:rsidRPr="003A227A">
        <w:rPr>
          <w:rFonts w:hint="eastAsia"/>
        </w:rPr>
        <w:t>年</w:t>
      </w:r>
      <w:r w:rsidR="00D82609" w:rsidRPr="003A227A">
        <w:rPr>
          <w:rFonts w:hint="eastAsia"/>
        </w:rPr>
        <w:t>Q</w:t>
      </w:r>
      <w:r w:rsidR="00D82609" w:rsidRPr="003A227A">
        <w:rPr>
          <w:rFonts w:hint="eastAsia"/>
        </w:rPr>
        <w:t>值</w:t>
      </w:r>
      <w:r w:rsidR="004B31B9">
        <w:rPr>
          <w:rFonts w:hint="eastAsia"/>
        </w:rPr>
        <w:t>分别</w:t>
      </w:r>
      <w:r w:rsidR="00D82609" w:rsidRPr="003A227A">
        <w:rPr>
          <w:rFonts w:hint="eastAsia"/>
        </w:rPr>
        <w:t>为</w:t>
      </w:r>
      <w:r w:rsidR="003E343C" w:rsidRPr="003A227A">
        <w:rPr>
          <w:rFonts w:hint="eastAsia"/>
        </w:rPr>
        <w:t>4.15</w:t>
      </w:r>
      <w:r w:rsidR="004B31B9">
        <w:rPr>
          <w:rFonts w:hint="eastAsia"/>
        </w:rPr>
        <w:t>、</w:t>
      </w:r>
      <w:r w:rsidR="003E343C" w:rsidRPr="003A227A">
        <w:rPr>
          <w:rFonts w:hint="eastAsia"/>
        </w:rPr>
        <w:t>0.17</w:t>
      </w:r>
      <w:r w:rsidR="004B31B9">
        <w:rPr>
          <w:rFonts w:hint="eastAsia"/>
        </w:rPr>
        <w:t>、</w:t>
      </w:r>
      <w:r w:rsidR="00F8647F" w:rsidRPr="003A227A">
        <w:rPr>
          <w:rFonts w:hint="eastAsia"/>
        </w:rPr>
        <w:t>0.41</w:t>
      </w:r>
      <w:r w:rsidR="004B31B9">
        <w:rPr>
          <w:rFonts w:hint="eastAsia"/>
        </w:rPr>
        <w:t>、</w:t>
      </w:r>
      <w:r w:rsidR="00F8647F" w:rsidRPr="003A227A">
        <w:rPr>
          <w:rFonts w:hint="eastAsia"/>
        </w:rPr>
        <w:t>0.30</w:t>
      </w:r>
      <w:r w:rsidR="005477DC">
        <w:rPr>
          <w:rFonts w:hint="eastAsia"/>
        </w:rPr>
        <w:t>和</w:t>
      </w:r>
      <w:r w:rsidR="000A4EE2" w:rsidRPr="003A227A">
        <w:rPr>
          <w:rFonts w:hint="eastAsia"/>
        </w:rPr>
        <w:t>0.55</w:t>
      </w:r>
      <w:r w:rsidR="000A4EE2" w:rsidRPr="003A227A">
        <w:rPr>
          <w:rFonts w:hint="eastAsia"/>
        </w:rPr>
        <w:t>，表明西部地区相对于</w:t>
      </w:r>
      <w:r w:rsidR="003A227A" w:rsidRPr="003A227A">
        <w:rPr>
          <w:rFonts w:hint="eastAsia"/>
        </w:rPr>
        <w:t>其他地区而言，港澳台游客占</w:t>
      </w:r>
      <w:r w:rsidR="003A227A">
        <w:rPr>
          <w:rFonts w:hint="eastAsia"/>
        </w:rPr>
        <w:t>比要大于外国人游客占比，这与西部地区入境旅游资源的文化特性有关，</w:t>
      </w:r>
      <w:r w:rsidR="00776D1E">
        <w:rPr>
          <w:rFonts w:hint="eastAsia"/>
        </w:rPr>
        <w:t>如陇东南</w:t>
      </w:r>
      <w:r w:rsidR="00776D1E" w:rsidRPr="00CD2036">
        <w:rPr>
          <w:rFonts w:asciiTheme="minorEastAsia" w:hAnsiTheme="minorEastAsia" w:cs="Times New Roman" w:hint="eastAsia"/>
          <w:color w:val="333333"/>
          <w:szCs w:val="21"/>
          <w:shd w:val="clear" w:color="auto" w:fill="FFFFFF"/>
        </w:rPr>
        <w:t>“寻根文化”旅游资源</w:t>
      </w:r>
      <w:r w:rsidR="001C0E57">
        <w:rPr>
          <w:rFonts w:asciiTheme="minorEastAsia" w:hAnsiTheme="minorEastAsia" w:cs="Times New Roman" w:hint="eastAsia"/>
          <w:color w:val="333333"/>
          <w:szCs w:val="21"/>
          <w:shd w:val="clear" w:color="auto" w:fill="FFFFFF"/>
        </w:rPr>
        <w:t>相较于全球旅游资源而言具有较高的垄断性，因此其较易对</w:t>
      </w:r>
      <w:r w:rsidR="00776D1E" w:rsidRPr="00CD2036">
        <w:rPr>
          <w:rFonts w:asciiTheme="minorEastAsia" w:hAnsiTheme="minorEastAsia" w:cs="Times New Roman" w:hint="eastAsia"/>
          <w:color w:val="333333"/>
          <w:szCs w:val="21"/>
          <w:shd w:val="clear" w:color="auto" w:fill="FFFFFF"/>
        </w:rPr>
        <w:t>港澳台</w:t>
      </w:r>
      <w:r w:rsidR="00776D1E">
        <w:rPr>
          <w:rFonts w:asciiTheme="minorEastAsia" w:hAnsiTheme="minorEastAsia" w:cs="Times New Roman" w:hint="eastAsia"/>
          <w:color w:val="333333"/>
          <w:szCs w:val="21"/>
          <w:shd w:val="clear" w:color="auto" w:fill="FFFFFF"/>
        </w:rPr>
        <w:t>游客</w:t>
      </w:r>
      <w:r w:rsidR="00776D1E" w:rsidRPr="00CD2036">
        <w:rPr>
          <w:rFonts w:asciiTheme="minorEastAsia" w:hAnsiTheme="minorEastAsia" w:cs="Times New Roman" w:hint="eastAsia"/>
          <w:color w:val="333333"/>
          <w:szCs w:val="21"/>
          <w:shd w:val="clear" w:color="auto" w:fill="FFFFFF"/>
        </w:rPr>
        <w:t>容易形成较高的文化</w:t>
      </w:r>
      <w:r w:rsidR="005477DC">
        <w:rPr>
          <w:rFonts w:asciiTheme="minorEastAsia" w:hAnsiTheme="minorEastAsia" w:cs="Times New Roman" w:hint="eastAsia"/>
          <w:color w:val="333333"/>
          <w:szCs w:val="21"/>
          <w:shd w:val="clear" w:color="auto" w:fill="FFFFFF"/>
        </w:rPr>
        <w:t>吸引力</w:t>
      </w:r>
      <w:r w:rsidR="001C0E57">
        <w:rPr>
          <w:rFonts w:asciiTheme="minorEastAsia" w:hAnsiTheme="minorEastAsia" w:cs="Times New Roman" w:hint="eastAsia"/>
          <w:color w:val="333333"/>
          <w:szCs w:val="21"/>
          <w:shd w:val="clear" w:color="auto" w:fill="FFFFFF"/>
        </w:rPr>
        <w:t>。</w:t>
      </w:r>
    </w:p>
    <w:p w:rsidR="003238FE" w:rsidRDefault="003238FE" w:rsidP="00800BD6">
      <w:pPr>
        <w:spacing w:line="360" w:lineRule="auto"/>
        <w:ind w:firstLineChars="200" w:firstLine="420"/>
        <w:outlineLvl w:val="0"/>
      </w:pPr>
      <w:r w:rsidRPr="003A227A">
        <w:rPr>
          <w:rFonts w:hint="eastAsia"/>
        </w:rPr>
        <w:t>2</w:t>
      </w:r>
      <w:r w:rsidRPr="003A227A">
        <w:rPr>
          <w:rFonts w:hint="eastAsia"/>
        </w:rPr>
        <w:t>）外国人客源结构质量分析</w:t>
      </w:r>
    </w:p>
    <w:p w:rsidR="00ED1BF7" w:rsidRPr="00ED1BF7" w:rsidRDefault="00ED1BF7" w:rsidP="00ED1BF7">
      <w:pPr>
        <w:spacing w:line="360" w:lineRule="auto"/>
        <w:ind w:firstLineChars="200" w:firstLine="422"/>
        <w:jc w:val="center"/>
        <w:rPr>
          <w:b/>
        </w:rPr>
      </w:pPr>
      <w:r w:rsidRPr="00ED1BF7">
        <w:rPr>
          <w:rFonts w:hint="eastAsia"/>
          <w:b/>
        </w:rPr>
        <w:t>表</w:t>
      </w:r>
      <w:r w:rsidRPr="00ED1BF7">
        <w:rPr>
          <w:rFonts w:hint="eastAsia"/>
          <w:b/>
        </w:rPr>
        <w:t xml:space="preserve">3 </w:t>
      </w:r>
      <w:r>
        <w:rPr>
          <w:rFonts w:hint="eastAsia"/>
          <w:b/>
        </w:rPr>
        <w:t xml:space="preserve"> </w:t>
      </w:r>
      <w:r w:rsidRPr="00ED1BF7">
        <w:rPr>
          <w:rFonts w:hint="eastAsia"/>
          <w:b/>
        </w:rPr>
        <w:t>2015</w:t>
      </w:r>
      <w:r w:rsidRPr="00ED1BF7">
        <w:rPr>
          <w:rFonts w:hint="eastAsia"/>
          <w:b/>
        </w:rPr>
        <w:t>年外国游客市场客源国结构对比</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516"/>
        <w:gridCol w:w="516"/>
        <w:gridCol w:w="591"/>
        <w:gridCol w:w="576"/>
        <w:gridCol w:w="591"/>
        <w:gridCol w:w="591"/>
        <w:gridCol w:w="656"/>
        <w:gridCol w:w="576"/>
        <w:gridCol w:w="516"/>
        <w:gridCol w:w="516"/>
        <w:gridCol w:w="516"/>
        <w:gridCol w:w="516"/>
        <w:gridCol w:w="576"/>
        <w:gridCol w:w="656"/>
      </w:tblGrid>
      <w:tr w:rsidR="00E70B82" w:rsidRPr="00B34920" w:rsidTr="003238FE">
        <w:trPr>
          <w:trHeight w:val="270"/>
        </w:trPr>
        <w:tc>
          <w:tcPr>
            <w:tcW w:w="613"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比例（%）</w:t>
            </w:r>
          </w:p>
        </w:tc>
        <w:tc>
          <w:tcPr>
            <w:tcW w:w="51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英国</w:t>
            </w:r>
          </w:p>
        </w:tc>
        <w:tc>
          <w:tcPr>
            <w:tcW w:w="51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法国</w:t>
            </w:r>
          </w:p>
        </w:tc>
        <w:tc>
          <w:tcPr>
            <w:tcW w:w="591"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美国</w:t>
            </w:r>
          </w:p>
        </w:tc>
        <w:tc>
          <w:tcPr>
            <w:tcW w:w="57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澳大利亚</w:t>
            </w:r>
          </w:p>
        </w:tc>
        <w:tc>
          <w:tcPr>
            <w:tcW w:w="591"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日本</w:t>
            </w:r>
          </w:p>
        </w:tc>
        <w:tc>
          <w:tcPr>
            <w:tcW w:w="591"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韩国</w:t>
            </w:r>
          </w:p>
        </w:tc>
        <w:tc>
          <w:tcPr>
            <w:tcW w:w="65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印度尼西</w:t>
            </w:r>
            <w:r w:rsidRPr="00B34920">
              <w:rPr>
                <w:rFonts w:ascii="宋体" w:eastAsia="宋体" w:hAnsi="宋体" w:hint="eastAsia"/>
                <w:bCs/>
                <w:sz w:val="15"/>
                <w:szCs w:val="15"/>
              </w:rPr>
              <w:lastRenderedPageBreak/>
              <w:t>亚</w:t>
            </w:r>
          </w:p>
        </w:tc>
        <w:tc>
          <w:tcPr>
            <w:tcW w:w="57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lastRenderedPageBreak/>
              <w:t>马来西亚</w:t>
            </w:r>
          </w:p>
        </w:tc>
        <w:tc>
          <w:tcPr>
            <w:tcW w:w="51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新加坡</w:t>
            </w:r>
          </w:p>
        </w:tc>
        <w:tc>
          <w:tcPr>
            <w:tcW w:w="51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菲律宾</w:t>
            </w:r>
          </w:p>
        </w:tc>
        <w:tc>
          <w:tcPr>
            <w:tcW w:w="51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泰国</w:t>
            </w:r>
          </w:p>
        </w:tc>
        <w:tc>
          <w:tcPr>
            <w:tcW w:w="51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印度</w:t>
            </w:r>
          </w:p>
        </w:tc>
        <w:tc>
          <w:tcPr>
            <w:tcW w:w="57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巴基斯坦</w:t>
            </w:r>
          </w:p>
        </w:tc>
        <w:tc>
          <w:tcPr>
            <w:tcW w:w="656" w:type="dxa"/>
            <w:tcBorders>
              <w:top w:val="single" w:sz="18" w:space="0" w:color="auto"/>
              <w:bottom w:val="single" w:sz="12" w:space="0" w:color="auto"/>
            </w:tcBorders>
            <w:noWrap/>
            <w:hideMark/>
          </w:tcPr>
          <w:p w:rsidR="00E70B82" w:rsidRPr="00B34920" w:rsidRDefault="00E70B82" w:rsidP="00924004">
            <w:pPr>
              <w:jc w:val="center"/>
              <w:rPr>
                <w:rFonts w:ascii="宋体" w:eastAsia="宋体" w:hAnsi="宋体"/>
                <w:bCs/>
                <w:sz w:val="15"/>
                <w:szCs w:val="15"/>
              </w:rPr>
            </w:pPr>
            <w:r w:rsidRPr="00B34920">
              <w:rPr>
                <w:rFonts w:ascii="宋体" w:eastAsia="宋体" w:hAnsi="宋体" w:hint="eastAsia"/>
                <w:bCs/>
                <w:sz w:val="15"/>
                <w:szCs w:val="15"/>
              </w:rPr>
              <w:t>哈萨克斯</w:t>
            </w:r>
            <w:r w:rsidRPr="00B34920">
              <w:rPr>
                <w:rFonts w:ascii="宋体" w:eastAsia="宋体" w:hAnsi="宋体" w:hint="eastAsia"/>
                <w:bCs/>
                <w:sz w:val="15"/>
                <w:szCs w:val="15"/>
              </w:rPr>
              <w:lastRenderedPageBreak/>
              <w:t>坦</w:t>
            </w:r>
          </w:p>
        </w:tc>
      </w:tr>
      <w:tr w:rsidR="00E70B82" w:rsidRPr="00B34920" w:rsidTr="003238FE">
        <w:trPr>
          <w:trHeight w:val="270"/>
        </w:trPr>
        <w:tc>
          <w:tcPr>
            <w:tcW w:w="613"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lastRenderedPageBreak/>
              <w:t>全国</w:t>
            </w:r>
          </w:p>
        </w:tc>
        <w:tc>
          <w:tcPr>
            <w:tcW w:w="51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2.23</w:t>
            </w:r>
          </w:p>
        </w:tc>
        <w:tc>
          <w:tcPr>
            <w:tcW w:w="51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1.87</w:t>
            </w:r>
          </w:p>
        </w:tc>
        <w:tc>
          <w:tcPr>
            <w:tcW w:w="591"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8.03</w:t>
            </w:r>
          </w:p>
        </w:tc>
        <w:tc>
          <w:tcPr>
            <w:tcW w:w="57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2.45</w:t>
            </w:r>
          </w:p>
        </w:tc>
        <w:tc>
          <w:tcPr>
            <w:tcW w:w="591"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9.61</w:t>
            </w:r>
          </w:p>
        </w:tc>
        <w:tc>
          <w:tcPr>
            <w:tcW w:w="591"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17.10</w:t>
            </w:r>
          </w:p>
        </w:tc>
        <w:tc>
          <w:tcPr>
            <w:tcW w:w="65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2.10</w:t>
            </w:r>
          </w:p>
        </w:tc>
        <w:tc>
          <w:tcPr>
            <w:tcW w:w="57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4.14</w:t>
            </w:r>
          </w:p>
        </w:tc>
        <w:tc>
          <w:tcPr>
            <w:tcW w:w="51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3.48</w:t>
            </w:r>
          </w:p>
        </w:tc>
        <w:tc>
          <w:tcPr>
            <w:tcW w:w="51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3.86</w:t>
            </w:r>
          </w:p>
        </w:tc>
        <w:tc>
          <w:tcPr>
            <w:tcW w:w="51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2.47</w:t>
            </w:r>
          </w:p>
        </w:tc>
        <w:tc>
          <w:tcPr>
            <w:tcW w:w="516" w:type="dxa"/>
            <w:tcBorders>
              <w:top w:val="single" w:sz="12"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2.81</w:t>
            </w:r>
          </w:p>
        </w:tc>
        <w:tc>
          <w:tcPr>
            <w:tcW w:w="576" w:type="dxa"/>
            <w:tcBorders>
              <w:top w:val="single" w:sz="12" w:space="0" w:color="auto"/>
            </w:tcBorders>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tcBorders>
              <w:top w:val="single" w:sz="12" w:space="0" w:color="auto"/>
            </w:tcBorders>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北京</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4.81</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4.27</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19.41</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3.80</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7.23</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11.63</w:t>
            </w:r>
          </w:p>
        </w:tc>
        <w:tc>
          <w:tcPr>
            <w:tcW w:w="65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1.37</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2.18</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3.08</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0.65</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1.39</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2.25</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四川</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9.00</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3.86</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14.88</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4.63</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8.88</w:t>
            </w:r>
          </w:p>
        </w:tc>
        <w:tc>
          <w:tcPr>
            <w:tcW w:w="591"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6.52</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6.39</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3.34</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上海</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3.53</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3.32</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12.54</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3.09</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15.11</w:t>
            </w:r>
          </w:p>
        </w:tc>
        <w:tc>
          <w:tcPr>
            <w:tcW w:w="591"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3.22</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陕西</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6.53</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5.52</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15.50</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5.04</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4.93</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17.97</w:t>
            </w:r>
          </w:p>
        </w:tc>
        <w:tc>
          <w:tcPr>
            <w:tcW w:w="65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0.72</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4.18</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1.88</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0.27</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1.47</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宁夏</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2.18</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3.62</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13.33</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9.73</w:t>
            </w:r>
          </w:p>
        </w:tc>
        <w:tc>
          <w:tcPr>
            <w:tcW w:w="591"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甘肃</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3.22</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4.77</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10.43</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2.63</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22.69</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10.69</w:t>
            </w:r>
          </w:p>
        </w:tc>
        <w:tc>
          <w:tcPr>
            <w:tcW w:w="65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0.99</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7.46</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1.22</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2.41</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青海</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6.27</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5.65</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12.92</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3.78</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9.50</w:t>
            </w:r>
          </w:p>
        </w:tc>
        <w:tc>
          <w:tcPr>
            <w:tcW w:w="591"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8.69</w:t>
            </w:r>
          </w:p>
        </w:tc>
        <w:tc>
          <w:tcPr>
            <w:tcW w:w="65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2.07</w:t>
            </w:r>
          </w:p>
        </w:tc>
        <w:tc>
          <w:tcPr>
            <w:tcW w:w="57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4.70</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3.38</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0.59</w:t>
            </w:r>
          </w:p>
        </w:tc>
        <w:tc>
          <w:tcPr>
            <w:tcW w:w="516" w:type="dxa"/>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5.38</w:t>
            </w:r>
          </w:p>
        </w:tc>
        <w:tc>
          <w:tcPr>
            <w:tcW w:w="51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57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c>
          <w:tcPr>
            <w:tcW w:w="656" w:type="dxa"/>
            <w:noWrap/>
            <w:hideMark/>
          </w:tcPr>
          <w:p w:rsidR="00E70B82" w:rsidRPr="00B34920" w:rsidRDefault="00E70B82" w:rsidP="00924004">
            <w:pPr>
              <w:jc w:val="center"/>
              <w:rPr>
                <w:sz w:val="15"/>
              </w:rPr>
            </w:pPr>
            <w:r w:rsidRPr="00B34920">
              <w:rPr>
                <w:rFonts w:ascii="宋体" w:eastAsia="宋体" w:hAnsi="宋体" w:hint="eastAsia"/>
                <w:sz w:val="15"/>
                <w:szCs w:val="15"/>
              </w:rPr>
              <w:t>—</w:t>
            </w:r>
          </w:p>
        </w:tc>
      </w:tr>
      <w:tr w:rsidR="00E70B82" w:rsidRPr="00B34920" w:rsidTr="003238FE">
        <w:trPr>
          <w:trHeight w:val="270"/>
        </w:trPr>
        <w:tc>
          <w:tcPr>
            <w:tcW w:w="613"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新疆</w:t>
            </w:r>
          </w:p>
        </w:tc>
        <w:tc>
          <w:tcPr>
            <w:tcW w:w="51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0.39</w:t>
            </w:r>
          </w:p>
        </w:tc>
        <w:tc>
          <w:tcPr>
            <w:tcW w:w="51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0.54</w:t>
            </w:r>
          </w:p>
        </w:tc>
        <w:tc>
          <w:tcPr>
            <w:tcW w:w="591"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0.50</w:t>
            </w:r>
          </w:p>
        </w:tc>
        <w:tc>
          <w:tcPr>
            <w:tcW w:w="57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0.18</w:t>
            </w:r>
          </w:p>
        </w:tc>
        <w:tc>
          <w:tcPr>
            <w:tcW w:w="591"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0.39</w:t>
            </w:r>
          </w:p>
        </w:tc>
        <w:tc>
          <w:tcPr>
            <w:tcW w:w="591"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0.47</w:t>
            </w:r>
          </w:p>
        </w:tc>
        <w:tc>
          <w:tcPr>
            <w:tcW w:w="65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0.06</w:t>
            </w:r>
          </w:p>
        </w:tc>
        <w:tc>
          <w:tcPr>
            <w:tcW w:w="57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0.38</w:t>
            </w:r>
          </w:p>
        </w:tc>
        <w:tc>
          <w:tcPr>
            <w:tcW w:w="51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0.33</w:t>
            </w:r>
          </w:p>
        </w:tc>
        <w:tc>
          <w:tcPr>
            <w:tcW w:w="51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0.06</w:t>
            </w:r>
          </w:p>
        </w:tc>
        <w:tc>
          <w:tcPr>
            <w:tcW w:w="51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0.16</w:t>
            </w:r>
          </w:p>
        </w:tc>
        <w:tc>
          <w:tcPr>
            <w:tcW w:w="51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0.07</w:t>
            </w:r>
          </w:p>
        </w:tc>
        <w:tc>
          <w:tcPr>
            <w:tcW w:w="57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0.64</w:t>
            </w:r>
          </w:p>
        </w:tc>
        <w:tc>
          <w:tcPr>
            <w:tcW w:w="656" w:type="dxa"/>
            <w:tcBorders>
              <w:bottom w:val="single" w:sz="18" w:space="0" w:color="auto"/>
            </w:tcBorders>
            <w:noWrap/>
            <w:hideMark/>
          </w:tcPr>
          <w:p w:rsidR="00E70B82" w:rsidRPr="00B34920" w:rsidRDefault="00E70B82" w:rsidP="00924004">
            <w:pPr>
              <w:jc w:val="center"/>
              <w:rPr>
                <w:rFonts w:ascii="宋体" w:eastAsia="宋体" w:hAnsi="宋体"/>
                <w:sz w:val="15"/>
                <w:szCs w:val="15"/>
              </w:rPr>
            </w:pPr>
            <w:r w:rsidRPr="00B34920">
              <w:rPr>
                <w:rFonts w:ascii="宋体" w:eastAsia="宋体" w:hAnsi="宋体" w:hint="eastAsia"/>
                <w:sz w:val="15"/>
                <w:szCs w:val="15"/>
              </w:rPr>
              <w:t>78.83</w:t>
            </w:r>
          </w:p>
        </w:tc>
      </w:tr>
    </w:tbl>
    <w:p w:rsidR="003238FE" w:rsidRPr="003238FE" w:rsidRDefault="00FC51E8" w:rsidP="003238FE">
      <w:pPr>
        <w:ind w:firstLineChars="200" w:firstLine="420"/>
        <w:jc w:val="left"/>
        <w:rPr>
          <w:rFonts w:ascii="仿宋" w:eastAsia="仿宋" w:hAnsi="仿宋"/>
        </w:rPr>
      </w:pPr>
      <w:r>
        <w:rPr>
          <w:rFonts w:ascii="仿宋" w:eastAsia="仿宋" w:hAnsi="仿宋" w:hint="eastAsia"/>
        </w:rPr>
        <w:t>数据来源：根据</w:t>
      </w:r>
      <w:r w:rsidR="003238FE" w:rsidRPr="00A36F9A">
        <w:rPr>
          <w:rFonts w:ascii="仿宋" w:eastAsia="仿宋" w:hAnsi="仿宋" w:hint="eastAsia"/>
        </w:rPr>
        <w:t>2015年</w:t>
      </w:r>
      <w:r w:rsidR="003238FE">
        <w:rPr>
          <w:rFonts w:ascii="仿宋" w:eastAsia="仿宋" w:hAnsi="仿宋" w:hint="eastAsia"/>
        </w:rPr>
        <w:t>各个地区</w:t>
      </w:r>
      <w:r w:rsidR="003238FE" w:rsidRPr="00A36F9A">
        <w:rPr>
          <w:rFonts w:ascii="仿宋" w:eastAsia="仿宋" w:hAnsi="仿宋" w:hint="eastAsia"/>
        </w:rPr>
        <w:t>统计年鉴</w:t>
      </w:r>
      <w:r w:rsidR="003238FE">
        <w:rPr>
          <w:rFonts w:ascii="仿宋" w:eastAsia="仿宋" w:hAnsi="仿宋" w:hint="eastAsia"/>
        </w:rPr>
        <w:t>和《中国旅游统计年鉴》</w:t>
      </w:r>
      <w:r w:rsidR="003238FE" w:rsidRPr="00A36F9A">
        <w:rPr>
          <w:rFonts w:ascii="仿宋" w:eastAsia="仿宋" w:hAnsi="仿宋" w:hint="eastAsia"/>
        </w:rPr>
        <w:t>计算得出</w:t>
      </w:r>
      <w:r w:rsidR="0050713C">
        <w:rPr>
          <w:rFonts w:ascii="仿宋" w:eastAsia="仿宋" w:hAnsi="仿宋" w:hint="eastAsia"/>
        </w:rPr>
        <w:t>，但由部分客源国数据缺失，不同客源国占比之和不等于100%</w:t>
      </w:r>
      <w:r w:rsidR="003238FE" w:rsidRPr="00A36F9A">
        <w:rPr>
          <w:rFonts w:ascii="仿宋" w:eastAsia="仿宋" w:hAnsi="仿宋" w:hint="eastAsia"/>
        </w:rPr>
        <w:t>。</w:t>
      </w:r>
    </w:p>
    <w:p w:rsidR="00880CFA" w:rsidRPr="00370054" w:rsidRDefault="00ED1BF7" w:rsidP="00880CFA">
      <w:pPr>
        <w:spacing w:line="360" w:lineRule="auto"/>
        <w:ind w:firstLineChars="200" w:firstLine="420"/>
        <w:rPr>
          <w:rFonts w:asciiTheme="minorEastAsia" w:hAnsiTheme="minorEastAsia" w:cs="Times New Roman"/>
          <w:color w:val="333333"/>
          <w:szCs w:val="21"/>
          <w:shd w:val="clear" w:color="auto" w:fill="FFFFFF"/>
        </w:rPr>
      </w:pPr>
      <w:r w:rsidRPr="00370054">
        <w:rPr>
          <w:rFonts w:asciiTheme="minorEastAsia" w:hAnsiTheme="minorEastAsia" w:cs="Times New Roman" w:hint="eastAsia"/>
          <w:color w:val="333333"/>
          <w:szCs w:val="21"/>
          <w:shd w:val="clear" w:color="auto" w:fill="FFFFFF"/>
        </w:rPr>
        <w:t>如表3所示，</w:t>
      </w:r>
      <w:r w:rsidR="00C45CB1" w:rsidRPr="00370054">
        <w:rPr>
          <w:rFonts w:asciiTheme="minorEastAsia" w:hAnsiTheme="minorEastAsia" w:cs="Times New Roman" w:hint="eastAsia"/>
          <w:color w:val="333333"/>
          <w:szCs w:val="21"/>
          <w:shd w:val="clear" w:color="auto" w:fill="FFFFFF"/>
        </w:rPr>
        <w:t>2015年在全国入境外国人客源中占比</w:t>
      </w:r>
      <w:r w:rsidR="00F27218" w:rsidRPr="00370054">
        <w:rPr>
          <w:rFonts w:asciiTheme="minorEastAsia" w:hAnsiTheme="minorEastAsia" w:cs="Times New Roman" w:hint="eastAsia"/>
          <w:color w:val="333333"/>
          <w:szCs w:val="21"/>
          <w:shd w:val="clear" w:color="auto" w:fill="FFFFFF"/>
        </w:rPr>
        <w:t>前三</w:t>
      </w:r>
      <w:r w:rsidR="00C45CB1" w:rsidRPr="00370054">
        <w:rPr>
          <w:rFonts w:asciiTheme="minorEastAsia" w:hAnsiTheme="minorEastAsia" w:cs="Times New Roman" w:hint="eastAsia"/>
          <w:color w:val="333333"/>
          <w:szCs w:val="21"/>
          <w:shd w:val="clear" w:color="auto" w:fill="FFFFFF"/>
        </w:rPr>
        <w:t>的</w:t>
      </w:r>
      <w:r w:rsidR="00F27218" w:rsidRPr="00370054">
        <w:rPr>
          <w:rFonts w:asciiTheme="minorEastAsia" w:hAnsiTheme="minorEastAsia" w:cs="Times New Roman" w:hint="eastAsia"/>
          <w:color w:val="333333"/>
          <w:szCs w:val="21"/>
          <w:shd w:val="clear" w:color="auto" w:fill="FFFFFF"/>
        </w:rPr>
        <w:t>是韩国、日本和</w:t>
      </w:r>
      <w:r w:rsidR="007D5EBA" w:rsidRPr="00370054">
        <w:rPr>
          <w:rFonts w:asciiTheme="minorEastAsia" w:hAnsiTheme="minorEastAsia" w:cs="Times New Roman" w:hint="eastAsia"/>
          <w:color w:val="333333"/>
          <w:szCs w:val="21"/>
          <w:shd w:val="clear" w:color="auto" w:fill="FFFFFF"/>
        </w:rPr>
        <w:t>美国</w:t>
      </w:r>
      <w:r w:rsidR="00F27218" w:rsidRPr="00370054">
        <w:rPr>
          <w:rFonts w:asciiTheme="minorEastAsia" w:hAnsiTheme="minorEastAsia" w:cs="Times New Roman" w:hint="eastAsia"/>
          <w:color w:val="333333"/>
          <w:szCs w:val="21"/>
          <w:shd w:val="clear" w:color="auto" w:fill="FFFFFF"/>
        </w:rPr>
        <w:t>；</w:t>
      </w:r>
      <w:r w:rsidR="007D5EBA" w:rsidRPr="00370054">
        <w:rPr>
          <w:rFonts w:asciiTheme="minorEastAsia" w:hAnsiTheme="minorEastAsia" w:cs="Times New Roman" w:hint="eastAsia"/>
          <w:color w:val="333333"/>
          <w:szCs w:val="21"/>
          <w:shd w:val="clear" w:color="auto" w:fill="FFFFFF"/>
        </w:rPr>
        <w:t>在北京</w:t>
      </w:r>
      <w:r w:rsidR="0050713C">
        <w:rPr>
          <w:rFonts w:asciiTheme="minorEastAsia" w:hAnsiTheme="minorEastAsia" w:cs="Times New Roman" w:hint="eastAsia"/>
          <w:color w:val="333333"/>
          <w:szCs w:val="21"/>
          <w:shd w:val="clear" w:color="auto" w:fill="FFFFFF"/>
        </w:rPr>
        <w:t>入境外国人客源中</w:t>
      </w:r>
      <w:r w:rsidR="00C45CB1" w:rsidRPr="00370054">
        <w:rPr>
          <w:rFonts w:asciiTheme="minorEastAsia" w:hAnsiTheme="minorEastAsia" w:cs="Times New Roman" w:hint="eastAsia"/>
          <w:color w:val="333333"/>
          <w:szCs w:val="21"/>
          <w:shd w:val="clear" w:color="auto" w:fill="FFFFFF"/>
        </w:rPr>
        <w:t>占比前三的</w:t>
      </w:r>
      <w:r w:rsidR="00F27218" w:rsidRPr="00370054">
        <w:rPr>
          <w:rFonts w:asciiTheme="minorEastAsia" w:hAnsiTheme="minorEastAsia" w:cs="Times New Roman" w:hint="eastAsia"/>
          <w:color w:val="333333"/>
          <w:szCs w:val="21"/>
          <w:shd w:val="clear" w:color="auto" w:fill="FFFFFF"/>
        </w:rPr>
        <w:t>是</w:t>
      </w:r>
      <w:r w:rsidR="007D5EBA" w:rsidRPr="00370054">
        <w:rPr>
          <w:rFonts w:asciiTheme="minorEastAsia" w:hAnsiTheme="minorEastAsia" w:cs="Times New Roman" w:hint="eastAsia"/>
          <w:color w:val="333333"/>
          <w:szCs w:val="21"/>
          <w:shd w:val="clear" w:color="auto" w:fill="FFFFFF"/>
        </w:rPr>
        <w:t>美国</w:t>
      </w:r>
      <w:r w:rsidR="00F27218" w:rsidRPr="00370054">
        <w:rPr>
          <w:rFonts w:asciiTheme="minorEastAsia" w:hAnsiTheme="minorEastAsia" w:cs="Times New Roman" w:hint="eastAsia"/>
          <w:color w:val="333333"/>
          <w:szCs w:val="21"/>
          <w:shd w:val="clear" w:color="auto" w:fill="FFFFFF"/>
        </w:rPr>
        <w:t>、</w:t>
      </w:r>
      <w:r w:rsidR="007D5EBA" w:rsidRPr="00370054">
        <w:rPr>
          <w:rFonts w:asciiTheme="minorEastAsia" w:hAnsiTheme="minorEastAsia" w:cs="Times New Roman" w:hint="eastAsia"/>
          <w:color w:val="333333"/>
          <w:szCs w:val="21"/>
          <w:shd w:val="clear" w:color="auto" w:fill="FFFFFF"/>
        </w:rPr>
        <w:t>韩国和日本</w:t>
      </w:r>
      <w:r w:rsidR="00F27218" w:rsidRPr="00370054">
        <w:rPr>
          <w:rFonts w:asciiTheme="minorEastAsia" w:hAnsiTheme="minorEastAsia" w:cs="Times New Roman" w:hint="eastAsia"/>
          <w:color w:val="333333"/>
          <w:szCs w:val="21"/>
          <w:shd w:val="clear" w:color="auto" w:fill="FFFFFF"/>
        </w:rPr>
        <w:t>；</w:t>
      </w:r>
      <w:r w:rsidR="007D5EBA" w:rsidRPr="00370054">
        <w:rPr>
          <w:rFonts w:asciiTheme="minorEastAsia" w:hAnsiTheme="minorEastAsia" w:cs="Times New Roman" w:hint="eastAsia"/>
          <w:color w:val="333333"/>
          <w:szCs w:val="21"/>
          <w:shd w:val="clear" w:color="auto" w:fill="FFFFFF"/>
        </w:rPr>
        <w:t>四川</w:t>
      </w:r>
      <w:r w:rsidR="00C45CB1" w:rsidRPr="00370054">
        <w:rPr>
          <w:rFonts w:asciiTheme="minorEastAsia" w:hAnsiTheme="minorEastAsia" w:cs="Times New Roman" w:hint="eastAsia"/>
          <w:color w:val="333333"/>
          <w:szCs w:val="21"/>
          <w:shd w:val="clear" w:color="auto" w:fill="FFFFFF"/>
        </w:rPr>
        <w:t>入境外国人客源中占比前三的</w:t>
      </w:r>
      <w:r w:rsidR="007D5EBA" w:rsidRPr="00370054">
        <w:rPr>
          <w:rFonts w:asciiTheme="minorEastAsia" w:hAnsiTheme="minorEastAsia" w:cs="Times New Roman" w:hint="eastAsia"/>
          <w:color w:val="333333"/>
          <w:szCs w:val="21"/>
          <w:shd w:val="clear" w:color="auto" w:fill="FFFFFF"/>
        </w:rPr>
        <w:t>是美国、</w:t>
      </w:r>
      <w:r w:rsidR="00C45CB1" w:rsidRPr="00370054">
        <w:rPr>
          <w:rFonts w:asciiTheme="minorEastAsia" w:hAnsiTheme="minorEastAsia" w:cs="Times New Roman" w:hint="eastAsia"/>
          <w:color w:val="333333"/>
          <w:szCs w:val="21"/>
          <w:shd w:val="clear" w:color="auto" w:fill="FFFFFF"/>
        </w:rPr>
        <w:t>日本</w:t>
      </w:r>
      <w:r w:rsidR="007D5EBA" w:rsidRPr="00370054">
        <w:rPr>
          <w:rFonts w:asciiTheme="minorEastAsia" w:hAnsiTheme="minorEastAsia" w:cs="Times New Roman" w:hint="eastAsia"/>
          <w:color w:val="333333"/>
          <w:szCs w:val="21"/>
          <w:shd w:val="clear" w:color="auto" w:fill="FFFFFF"/>
        </w:rPr>
        <w:t>和</w:t>
      </w:r>
      <w:r w:rsidR="00C45CB1" w:rsidRPr="00370054">
        <w:rPr>
          <w:rFonts w:asciiTheme="minorEastAsia" w:hAnsiTheme="minorEastAsia" w:cs="Times New Roman" w:hint="eastAsia"/>
          <w:color w:val="333333"/>
          <w:szCs w:val="21"/>
          <w:shd w:val="clear" w:color="auto" w:fill="FFFFFF"/>
        </w:rPr>
        <w:t>英国</w:t>
      </w:r>
      <w:r w:rsidR="007D5EBA" w:rsidRPr="00370054">
        <w:rPr>
          <w:rFonts w:asciiTheme="minorEastAsia" w:hAnsiTheme="minorEastAsia" w:cs="Times New Roman" w:hint="eastAsia"/>
          <w:color w:val="333333"/>
          <w:szCs w:val="21"/>
          <w:shd w:val="clear" w:color="auto" w:fill="FFFFFF"/>
        </w:rPr>
        <w:t>；</w:t>
      </w:r>
      <w:r w:rsidR="006D351D" w:rsidRPr="00370054">
        <w:rPr>
          <w:rFonts w:asciiTheme="minorEastAsia" w:hAnsiTheme="minorEastAsia" w:cs="Times New Roman" w:hint="eastAsia"/>
          <w:color w:val="333333"/>
          <w:szCs w:val="21"/>
          <w:shd w:val="clear" w:color="auto" w:fill="FFFFFF"/>
        </w:rPr>
        <w:t>上海入境外国人客源中占比前三的是日本、美国和英国；</w:t>
      </w:r>
      <w:r w:rsidR="003D1DDB" w:rsidRPr="00370054">
        <w:rPr>
          <w:rFonts w:asciiTheme="minorEastAsia" w:hAnsiTheme="minorEastAsia" w:cs="Times New Roman" w:hint="eastAsia"/>
          <w:color w:val="333333"/>
          <w:szCs w:val="21"/>
          <w:shd w:val="clear" w:color="auto" w:fill="FFFFFF"/>
        </w:rPr>
        <w:t>西部地区</w:t>
      </w:r>
      <w:r w:rsidR="006D351D" w:rsidRPr="00370054">
        <w:rPr>
          <w:rFonts w:asciiTheme="minorEastAsia" w:hAnsiTheme="minorEastAsia" w:cs="Times New Roman" w:hint="eastAsia"/>
          <w:color w:val="333333"/>
          <w:szCs w:val="21"/>
          <w:shd w:val="clear" w:color="auto" w:fill="FFFFFF"/>
        </w:rPr>
        <w:t>中的陕西入境外国人客源中</w:t>
      </w:r>
      <w:r w:rsidR="0055744E" w:rsidRPr="00370054">
        <w:rPr>
          <w:rFonts w:asciiTheme="minorEastAsia" w:hAnsiTheme="minorEastAsia" w:cs="Times New Roman" w:hint="eastAsia"/>
          <w:color w:val="333333"/>
          <w:szCs w:val="21"/>
          <w:shd w:val="clear" w:color="auto" w:fill="FFFFFF"/>
        </w:rPr>
        <w:t>韩国占比高达17.97%，美国游客占比也为15.50%，</w:t>
      </w:r>
      <w:r w:rsidR="00E25AD6" w:rsidRPr="00370054">
        <w:rPr>
          <w:rFonts w:asciiTheme="minorEastAsia" w:hAnsiTheme="minorEastAsia" w:cs="Times New Roman" w:hint="eastAsia"/>
          <w:color w:val="333333"/>
          <w:szCs w:val="21"/>
          <w:shd w:val="clear" w:color="auto" w:fill="FFFFFF"/>
        </w:rPr>
        <w:t>在宁夏外国人客源中占比最高的为美国</w:t>
      </w:r>
      <w:r w:rsidR="00AA2042">
        <w:rPr>
          <w:rFonts w:asciiTheme="minorEastAsia" w:hAnsiTheme="minorEastAsia" w:cs="Times New Roman" w:hint="eastAsia"/>
          <w:color w:val="333333"/>
          <w:szCs w:val="21"/>
          <w:shd w:val="clear" w:color="auto" w:fill="FFFFFF"/>
        </w:rPr>
        <w:t>13.33%</w:t>
      </w:r>
      <w:r w:rsidR="00E25AD6" w:rsidRPr="00370054">
        <w:rPr>
          <w:rFonts w:asciiTheme="minorEastAsia" w:hAnsiTheme="minorEastAsia" w:cs="Times New Roman" w:hint="eastAsia"/>
          <w:color w:val="333333"/>
          <w:szCs w:val="21"/>
          <w:shd w:val="clear" w:color="auto" w:fill="FFFFFF"/>
        </w:rPr>
        <w:t>，甘肃入境外国游客中日本游客占比高达22.69%，青海入境外国游客中占比最高为美国</w:t>
      </w:r>
      <w:r w:rsidR="00AA2042">
        <w:rPr>
          <w:rFonts w:asciiTheme="minorEastAsia" w:hAnsiTheme="minorEastAsia" w:cs="Times New Roman" w:hint="eastAsia"/>
          <w:color w:val="333333"/>
          <w:szCs w:val="21"/>
          <w:shd w:val="clear" w:color="auto" w:fill="FFFFFF"/>
        </w:rPr>
        <w:t>12.92%</w:t>
      </w:r>
      <w:r w:rsidR="00E25AD6" w:rsidRPr="00370054">
        <w:rPr>
          <w:rFonts w:asciiTheme="minorEastAsia" w:hAnsiTheme="minorEastAsia" w:cs="Times New Roman" w:hint="eastAsia"/>
          <w:color w:val="333333"/>
          <w:szCs w:val="21"/>
          <w:shd w:val="clear" w:color="auto" w:fill="FFFFFF"/>
        </w:rPr>
        <w:t>，而新疆是我国</w:t>
      </w:r>
      <w:r w:rsidR="003D1DDB" w:rsidRPr="00370054">
        <w:rPr>
          <w:rFonts w:asciiTheme="minorEastAsia" w:hAnsiTheme="minorEastAsia" w:cs="Times New Roman" w:hint="eastAsia"/>
          <w:color w:val="333333"/>
          <w:szCs w:val="21"/>
          <w:shd w:val="clear" w:color="auto" w:fill="FFFFFF"/>
        </w:rPr>
        <w:t>入境</w:t>
      </w:r>
      <w:r w:rsidR="00E25AD6" w:rsidRPr="00370054">
        <w:rPr>
          <w:rFonts w:asciiTheme="minorEastAsia" w:hAnsiTheme="minorEastAsia" w:cs="Times New Roman" w:hint="eastAsia"/>
          <w:color w:val="333333"/>
          <w:szCs w:val="21"/>
          <w:shd w:val="clear" w:color="auto" w:fill="FFFFFF"/>
        </w:rPr>
        <w:t>旅游统计年鉴中唯一一个列明中亚客源市场的省区，且哈萨克斯坦游客在其入境游客中占比高达78.83%</w:t>
      </w:r>
      <w:r w:rsidR="00880CFA" w:rsidRPr="00370054">
        <w:rPr>
          <w:rFonts w:asciiTheme="minorEastAsia" w:hAnsiTheme="minorEastAsia" w:cs="Times New Roman" w:hint="eastAsia"/>
          <w:color w:val="333333"/>
          <w:szCs w:val="21"/>
          <w:shd w:val="clear" w:color="auto" w:fill="FFFFFF"/>
        </w:rPr>
        <w:t>，</w:t>
      </w:r>
      <w:r w:rsidR="00E25AD6" w:rsidRPr="00370054">
        <w:rPr>
          <w:rFonts w:asciiTheme="minorEastAsia" w:hAnsiTheme="minorEastAsia" w:cs="Times New Roman" w:hint="eastAsia"/>
          <w:color w:val="333333"/>
          <w:szCs w:val="21"/>
          <w:shd w:val="clear" w:color="auto" w:fill="FFFFFF"/>
        </w:rPr>
        <w:t>说明</w:t>
      </w:r>
      <w:r w:rsidR="00880CFA" w:rsidRPr="00370054">
        <w:rPr>
          <w:rFonts w:asciiTheme="minorEastAsia" w:hAnsiTheme="minorEastAsia" w:cs="Times New Roman" w:hint="eastAsia"/>
          <w:color w:val="333333"/>
          <w:szCs w:val="21"/>
          <w:shd w:val="clear" w:color="auto" w:fill="FFFFFF"/>
        </w:rPr>
        <w:t>西部地区在中亚入境旅游市场显然最具优势。</w:t>
      </w:r>
    </w:p>
    <w:p w:rsidR="00E70B82" w:rsidRPr="00B34920" w:rsidRDefault="000A4C50" w:rsidP="007E5BE2">
      <w:pPr>
        <w:spacing w:line="360" w:lineRule="auto"/>
        <w:ind w:firstLineChars="196" w:firstLine="413"/>
        <w:outlineLvl w:val="0"/>
        <w:rPr>
          <w:rFonts w:eastAsia="宋体" w:hAnsi="Calibri" w:cs="Times New Roman"/>
          <w:b/>
        </w:rPr>
      </w:pPr>
      <w:r>
        <w:rPr>
          <w:rFonts w:eastAsia="宋体" w:hAnsi="Calibri" w:cs="Times New Roman" w:hint="eastAsia"/>
          <w:b/>
        </w:rPr>
        <w:t>（</w:t>
      </w:r>
      <w:r>
        <w:rPr>
          <w:rFonts w:eastAsia="宋体" w:hAnsi="Calibri" w:cs="Times New Roman" w:hint="eastAsia"/>
          <w:b/>
        </w:rPr>
        <w:t>6</w:t>
      </w:r>
      <w:r>
        <w:rPr>
          <w:rFonts w:eastAsia="宋体" w:hAnsi="Calibri" w:cs="Times New Roman" w:hint="eastAsia"/>
          <w:b/>
        </w:rPr>
        <w:t>）</w:t>
      </w:r>
      <w:r w:rsidR="00E70B82" w:rsidRPr="00B34920">
        <w:rPr>
          <w:rFonts w:eastAsia="宋体" w:hAnsi="Calibri" w:cs="Times New Roman" w:hint="eastAsia"/>
          <w:b/>
        </w:rPr>
        <w:t>西部地区入境旅游发展潜力分析</w:t>
      </w:r>
    </w:p>
    <w:p w:rsidR="00E70B82" w:rsidRDefault="005B6452" w:rsidP="00AA6678">
      <w:pPr>
        <w:ind w:firstLineChars="200" w:firstLine="420"/>
        <w:jc w:val="center"/>
      </w:pPr>
      <w:r w:rsidRPr="005B6452">
        <w:rPr>
          <w:noProof/>
          <w:shd w:val="clear" w:color="auto" w:fill="000000" w:themeFill="text1"/>
        </w:rPr>
        <w:drawing>
          <wp:anchor distT="0" distB="0" distL="114300" distR="114300" simplePos="0" relativeHeight="251659264" behindDoc="0" locked="0" layoutInCell="1" allowOverlap="1">
            <wp:simplePos x="0" y="0"/>
            <wp:positionH relativeFrom="column">
              <wp:posOffset>483781</wp:posOffset>
            </wp:positionH>
            <wp:positionV relativeFrom="paragraph">
              <wp:posOffset>17898</wp:posOffset>
            </wp:positionV>
            <wp:extent cx="4572000" cy="2743200"/>
            <wp:effectExtent l="0" t="0" r="0" b="0"/>
            <wp:wrapThrough wrapText="bothSides">
              <wp:wrapPolygon edited="0">
                <wp:start x="0" y="0"/>
                <wp:lineTo x="0" y="21450"/>
                <wp:lineTo x="21510" y="21450"/>
                <wp:lineTo x="21510" y="0"/>
                <wp:lineTo x="0" y="0"/>
              </wp:wrapPolygon>
            </wp:wrapThrough>
            <wp:docPr id="1" name="图表 3">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C8C1F3-82A8-41C0-B1C5-04C5F26FD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370054" w:rsidRPr="009270F9" w:rsidRDefault="00370054" w:rsidP="009270F9">
      <w:pPr>
        <w:ind w:firstLineChars="200" w:firstLine="422"/>
        <w:jc w:val="center"/>
        <w:rPr>
          <w:b/>
        </w:rPr>
      </w:pPr>
      <w:r w:rsidRPr="009270F9">
        <w:rPr>
          <w:rFonts w:hint="eastAsia"/>
          <w:b/>
        </w:rPr>
        <w:t>图</w:t>
      </w:r>
      <w:r w:rsidRPr="009270F9">
        <w:rPr>
          <w:rFonts w:hint="eastAsia"/>
          <w:b/>
        </w:rPr>
        <w:t xml:space="preserve">6  </w:t>
      </w:r>
      <w:r w:rsidR="009270F9" w:rsidRPr="009270F9">
        <w:rPr>
          <w:b/>
        </w:rPr>
        <w:t>2006-2016</w:t>
      </w:r>
      <w:r w:rsidR="009270F9" w:rsidRPr="009270F9">
        <w:rPr>
          <w:rFonts w:hint="eastAsia"/>
          <w:b/>
        </w:rPr>
        <w:t>年西部地区入境旅游人数与入境旅游收入占全国比例变化趋势</w:t>
      </w:r>
    </w:p>
    <w:p w:rsidR="00370054" w:rsidRPr="003238FE" w:rsidRDefault="00370054" w:rsidP="00370054">
      <w:pPr>
        <w:ind w:firstLineChars="200" w:firstLine="420"/>
        <w:jc w:val="left"/>
        <w:rPr>
          <w:rFonts w:ascii="仿宋" w:eastAsia="仿宋" w:hAnsi="仿宋"/>
        </w:rPr>
      </w:pPr>
      <w:r w:rsidRPr="00A36F9A">
        <w:rPr>
          <w:rFonts w:ascii="仿宋" w:eastAsia="仿宋" w:hAnsi="仿宋" w:hint="eastAsia"/>
        </w:rPr>
        <w:t>数据来源：根据200</w:t>
      </w:r>
      <w:r>
        <w:rPr>
          <w:rFonts w:ascii="仿宋" w:eastAsia="仿宋" w:hAnsi="仿宋" w:hint="eastAsia"/>
        </w:rPr>
        <w:t>6</w:t>
      </w:r>
      <w:r w:rsidRPr="00A36F9A">
        <w:rPr>
          <w:rFonts w:ascii="仿宋" w:eastAsia="仿宋" w:hAnsi="仿宋" w:hint="eastAsia"/>
        </w:rPr>
        <w:t>-201</w:t>
      </w:r>
      <w:r>
        <w:rPr>
          <w:rFonts w:ascii="仿宋" w:eastAsia="仿宋" w:hAnsi="仿宋" w:hint="eastAsia"/>
        </w:rPr>
        <w:t>6</w:t>
      </w:r>
      <w:r w:rsidRPr="00A36F9A">
        <w:rPr>
          <w:rFonts w:ascii="仿宋" w:eastAsia="仿宋" w:hAnsi="仿宋" w:hint="eastAsia"/>
        </w:rPr>
        <w:t>年</w:t>
      </w:r>
      <w:r>
        <w:rPr>
          <w:rFonts w:ascii="仿宋" w:eastAsia="仿宋" w:hAnsi="仿宋" w:hint="eastAsia"/>
        </w:rPr>
        <w:t>西部各个地区</w:t>
      </w:r>
      <w:r w:rsidRPr="00A36F9A">
        <w:rPr>
          <w:rFonts w:ascii="仿宋" w:eastAsia="仿宋" w:hAnsi="仿宋" w:hint="eastAsia"/>
        </w:rPr>
        <w:t>统计年鉴</w:t>
      </w:r>
      <w:r>
        <w:rPr>
          <w:rFonts w:ascii="仿宋" w:eastAsia="仿宋" w:hAnsi="仿宋" w:hint="eastAsia"/>
        </w:rPr>
        <w:t>和《中国旅游统计年鉴》</w:t>
      </w:r>
      <w:r w:rsidRPr="00A36F9A">
        <w:rPr>
          <w:rFonts w:ascii="仿宋" w:eastAsia="仿宋" w:hAnsi="仿宋" w:hint="eastAsia"/>
        </w:rPr>
        <w:t>计算得出。</w:t>
      </w:r>
    </w:p>
    <w:p w:rsidR="00370054" w:rsidRDefault="009270F9" w:rsidP="002E4510">
      <w:pPr>
        <w:spacing w:line="360" w:lineRule="auto"/>
        <w:ind w:firstLineChars="200" w:firstLine="420"/>
        <w:rPr>
          <w:rFonts w:eastAsia="宋体" w:hAnsi="Calibri" w:cs="Times New Roman"/>
        </w:rPr>
      </w:pPr>
      <w:r w:rsidRPr="00D430C8">
        <w:rPr>
          <w:rFonts w:eastAsia="宋体" w:hAnsi="Calibri" w:cs="Times New Roman" w:hint="eastAsia"/>
        </w:rPr>
        <w:t>由图</w:t>
      </w:r>
      <w:r w:rsidRPr="00D430C8">
        <w:rPr>
          <w:rFonts w:eastAsia="宋体" w:hAnsi="Calibri" w:cs="Times New Roman" w:hint="eastAsia"/>
        </w:rPr>
        <w:t>6</w:t>
      </w:r>
      <w:r w:rsidRPr="00D430C8">
        <w:rPr>
          <w:rFonts w:eastAsia="宋体" w:hAnsi="Calibri" w:cs="Times New Roman" w:hint="eastAsia"/>
        </w:rPr>
        <w:t>可以看出，</w:t>
      </w:r>
      <w:r w:rsidR="004D2671" w:rsidRPr="00D430C8">
        <w:rPr>
          <w:rFonts w:eastAsia="宋体" w:hAnsi="Calibri" w:cs="Times New Roman" w:hint="eastAsia"/>
        </w:rPr>
        <w:t>西部地区入境旅游人数与入境旅游收入在全国旅游市场中的比例依然较小，但呈波动上升趋势，表明西部入境旅游市场的发展</w:t>
      </w:r>
      <w:r w:rsidR="002044F7" w:rsidRPr="00D430C8">
        <w:rPr>
          <w:rFonts w:eastAsia="宋体" w:hAnsi="Calibri" w:cs="Times New Roman" w:hint="eastAsia"/>
        </w:rPr>
        <w:t>与开拓</w:t>
      </w:r>
      <w:r w:rsidR="004D2671" w:rsidRPr="00D430C8">
        <w:rPr>
          <w:rFonts w:eastAsia="宋体" w:hAnsi="Calibri" w:cs="Times New Roman" w:hint="eastAsia"/>
        </w:rPr>
        <w:t>极具潜力</w:t>
      </w:r>
      <w:r w:rsidR="00D47B24" w:rsidRPr="00D430C8">
        <w:rPr>
          <w:rFonts w:eastAsia="宋体" w:hAnsi="Calibri" w:cs="Times New Roman" w:hint="eastAsia"/>
        </w:rPr>
        <w:t>：从入境旅游人数</w:t>
      </w:r>
      <w:r w:rsidR="00D47B24" w:rsidRPr="00D430C8">
        <w:rPr>
          <w:rFonts w:eastAsia="宋体" w:hAnsi="Calibri" w:cs="Times New Roman" w:hint="eastAsia"/>
        </w:rPr>
        <w:lastRenderedPageBreak/>
        <w:t>占比变化来看，</w:t>
      </w:r>
      <w:r w:rsidR="004D2671" w:rsidRPr="00D430C8">
        <w:rPr>
          <w:rFonts w:eastAsia="宋体" w:hAnsi="Calibri" w:cs="Times New Roman" w:hint="eastAsia"/>
        </w:rPr>
        <w:t>2006</w:t>
      </w:r>
      <w:r w:rsidR="004D2671" w:rsidRPr="00D430C8">
        <w:rPr>
          <w:rFonts w:eastAsia="宋体" w:hAnsi="Calibri" w:cs="Times New Roman" w:hint="eastAsia"/>
        </w:rPr>
        <w:t>年西部地区入境旅游人数占比</w:t>
      </w:r>
      <w:r w:rsidR="002044F7" w:rsidRPr="00D430C8">
        <w:rPr>
          <w:rFonts w:eastAsia="宋体" w:hAnsi="Calibri" w:cs="Times New Roman" w:hint="eastAsia"/>
        </w:rPr>
        <w:t>为</w:t>
      </w:r>
      <w:r w:rsidR="00380F2C" w:rsidRPr="00D430C8">
        <w:rPr>
          <w:rFonts w:eastAsia="宋体" w:hAnsi="Calibri" w:cs="Times New Roman" w:hint="eastAsia"/>
        </w:rPr>
        <w:t>1.42</w:t>
      </w:r>
      <w:r w:rsidR="002044F7" w:rsidRPr="00D430C8">
        <w:rPr>
          <w:rFonts w:eastAsia="宋体" w:hAnsi="Calibri" w:cs="Times New Roman" w:hint="eastAsia"/>
        </w:rPr>
        <w:t>%</w:t>
      </w:r>
      <w:r w:rsidR="002044F7" w:rsidRPr="00D430C8">
        <w:rPr>
          <w:rFonts w:eastAsia="宋体" w:hAnsi="Calibri" w:cs="Times New Roman" w:hint="eastAsia"/>
        </w:rPr>
        <w:t>，之后一直呈上升趋势，并在</w:t>
      </w:r>
      <w:r w:rsidR="002044F7" w:rsidRPr="00D430C8">
        <w:rPr>
          <w:rFonts w:eastAsia="宋体" w:hAnsi="Calibri" w:cs="Times New Roman" w:hint="eastAsia"/>
        </w:rPr>
        <w:t>2013</w:t>
      </w:r>
      <w:r w:rsidR="002044F7" w:rsidRPr="00D430C8">
        <w:rPr>
          <w:rFonts w:eastAsia="宋体" w:hAnsi="Calibri" w:cs="Times New Roman" w:hint="eastAsia"/>
        </w:rPr>
        <w:t>年入境旅游人数占比上升至</w:t>
      </w:r>
      <w:r w:rsidR="00380F2C" w:rsidRPr="00D430C8">
        <w:rPr>
          <w:rFonts w:eastAsia="宋体" w:hAnsi="Calibri" w:cs="Times New Roman" w:hint="eastAsia"/>
        </w:rPr>
        <w:t>4.07%</w:t>
      </w:r>
      <w:r w:rsidR="00380F2C" w:rsidRPr="00D430C8">
        <w:rPr>
          <w:rFonts w:eastAsia="宋体" w:hAnsi="Calibri" w:cs="Times New Roman" w:hint="eastAsia"/>
        </w:rPr>
        <w:t>，但</w:t>
      </w:r>
      <w:r w:rsidR="00380F2C" w:rsidRPr="00D430C8">
        <w:rPr>
          <w:rFonts w:eastAsia="宋体" w:hAnsi="Calibri" w:cs="Times New Roman" w:hint="eastAsia"/>
        </w:rPr>
        <w:t>2014</w:t>
      </w:r>
      <w:r w:rsidR="00380F2C" w:rsidRPr="00D430C8">
        <w:rPr>
          <w:rFonts w:eastAsia="宋体" w:hAnsi="Calibri" w:cs="Times New Roman" w:hint="eastAsia"/>
        </w:rPr>
        <w:t>年急剧下降</w:t>
      </w:r>
      <w:r w:rsidR="00C16F6E">
        <w:rPr>
          <w:rFonts w:eastAsia="宋体" w:hAnsi="Calibri" w:cs="Times New Roman" w:hint="eastAsia"/>
        </w:rPr>
        <w:t>为</w:t>
      </w:r>
      <w:r w:rsidR="008F3D8B" w:rsidRPr="00D430C8">
        <w:rPr>
          <w:rFonts w:eastAsia="宋体" w:hAnsi="Calibri" w:cs="Times New Roman" w:hint="eastAsia"/>
        </w:rPr>
        <w:t>3.34%</w:t>
      </w:r>
      <w:r w:rsidR="00C16F6E" w:rsidRPr="00D430C8">
        <w:rPr>
          <w:rFonts w:eastAsia="宋体" w:hAnsi="Calibri" w:cs="Times New Roman" w:hint="eastAsia"/>
        </w:rPr>
        <w:t>（与</w:t>
      </w:r>
      <w:r w:rsidR="00C16F6E" w:rsidRPr="00D430C8">
        <w:rPr>
          <w:rFonts w:eastAsia="宋体" w:hAnsi="Calibri" w:cs="Times New Roman" w:hint="eastAsia"/>
        </w:rPr>
        <w:t>2014</w:t>
      </w:r>
      <w:r w:rsidR="00C16F6E" w:rsidRPr="00D430C8">
        <w:rPr>
          <w:rFonts w:eastAsia="宋体" w:hAnsi="Calibri" w:cs="Times New Roman" w:hint="eastAsia"/>
        </w:rPr>
        <w:t>我国入境旅游人数与收入的变化相同）</w:t>
      </w:r>
      <w:r w:rsidR="00D47B24" w:rsidRPr="00D430C8">
        <w:rPr>
          <w:rFonts w:eastAsia="宋体" w:hAnsi="Calibri" w:cs="Times New Roman" w:hint="eastAsia"/>
        </w:rPr>
        <w:t>，</w:t>
      </w:r>
      <w:r w:rsidR="00D47B24" w:rsidRPr="00D430C8">
        <w:rPr>
          <w:rFonts w:eastAsia="宋体" w:hAnsi="Calibri" w:cs="Times New Roman" w:hint="eastAsia"/>
        </w:rPr>
        <w:t>2014</w:t>
      </w:r>
      <w:r w:rsidR="00D47B24" w:rsidRPr="00D430C8">
        <w:rPr>
          <w:rFonts w:eastAsia="宋体" w:hAnsi="Calibri" w:cs="Times New Roman" w:hint="eastAsia"/>
        </w:rPr>
        <w:t>年之后继续上升；从入境旅收入占比变化来看，</w:t>
      </w:r>
      <w:r w:rsidR="00D47B24" w:rsidRPr="00D430C8">
        <w:rPr>
          <w:rFonts w:eastAsia="宋体" w:hAnsi="Calibri" w:cs="Times New Roman" w:hint="eastAsia"/>
        </w:rPr>
        <w:t>2006</w:t>
      </w:r>
      <w:r w:rsidR="00D47B24" w:rsidRPr="00D430C8">
        <w:rPr>
          <w:rFonts w:eastAsia="宋体" w:hAnsi="Calibri" w:cs="Times New Roman" w:hint="eastAsia"/>
        </w:rPr>
        <w:t>年西部地区入境旅游收入占比为</w:t>
      </w:r>
      <w:r w:rsidR="00D47B24" w:rsidRPr="00D430C8">
        <w:rPr>
          <w:rFonts w:eastAsia="宋体" w:hAnsi="Calibri" w:cs="Times New Roman" w:hint="eastAsia"/>
        </w:rPr>
        <w:t>2.11</w:t>
      </w:r>
      <w:r w:rsidR="00721D8E">
        <w:rPr>
          <w:rFonts w:eastAsia="宋体" w:hAnsi="Calibri" w:cs="Times New Roman" w:hint="eastAsia"/>
        </w:rPr>
        <w:t>%</w:t>
      </w:r>
      <w:r w:rsidR="00D47B24" w:rsidRPr="00D430C8">
        <w:rPr>
          <w:rFonts w:eastAsia="宋体" w:hAnsi="Calibri" w:cs="Times New Roman" w:hint="eastAsia"/>
        </w:rPr>
        <w:t>，</w:t>
      </w:r>
      <w:r w:rsidR="008F3D8B" w:rsidRPr="00D430C8">
        <w:rPr>
          <w:rFonts w:eastAsia="宋体" w:hAnsi="Calibri" w:cs="Times New Roman" w:hint="eastAsia"/>
        </w:rPr>
        <w:t>至</w:t>
      </w:r>
      <w:r w:rsidR="008F3D8B" w:rsidRPr="00D430C8">
        <w:rPr>
          <w:rFonts w:eastAsia="宋体" w:hAnsi="Calibri" w:cs="Times New Roman" w:hint="eastAsia"/>
        </w:rPr>
        <w:t>2013</w:t>
      </w:r>
      <w:r w:rsidR="008F3D8B" w:rsidRPr="00D430C8">
        <w:rPr>
          <w:rFonts w:eastAsia="宋体" w:hAnsi="Calibri" w:cs="Times New Roman" w:hint="eastAsia"/>
        </w:rPr>
        <w:t>年占比达到峰值</w:t>
      </w:r>
      <w:r w:rsidR="008F3D8B" w:rsidRPr="00D430C8">
        <w:rPr>
          <w:rFonts w:eastAsia="宋体" w:hAnsi="Calibri" w:cs="Times New Roman" w:hint="eastAsia"/>
        </w:rPr>
        <w:t>4.48</w:t>
      </w:r>
      <w:r w:rsidR="00721D8E">
        <w:rPr>
          <w:rFonts w:eastAsia="宋体" w:hAnsi="Calibri" w:cs="Times New Roman" w:hint="eastAsia"/>
        </w:rPr>
        <w:t>%</w:t>
      </w:r>
      <w:r w:rsidR="008F3D8B" w:rsidRPr="00D430C8">
        <w:rPr>
          <w:rFonts w:eastAsia="宋体" w:hAnsi="Calibri" w:cs="Times New Roman" w:hint="eastAsia"/>
        </w:rPr>
        <w:t>，同样，入境旅游收入占比在</w:t>
      </w:r>
      <w:r w:rsidR="008F3D8B" w:rsidRPr="00D430C8">
        <w:rPr>
          <w:rFonts w:eastAsia="宋体" w:hAnsi="Calibri" w:cs="Times New Roman" w:hint="eastAsia"/>
        </w:rPr>
        <w:t>2014</w:t>
      </w:r>
      <w:r w:rsidR="008F3D8B" w:rsidRPr="00D430C8">
        <w:rPr>
          <w:rFonts w:eastAsia="宋体" w:hAnsi="Calibri" w:cs="Times New Roman" w:hint="eastAsia"/>
        </w:rPr>
        <w:t>年达到最小值</w:t>
      </w:r>
      <w:r w:rsidR="008F3D8B" w:rsidRPr="00D430C8">
        <w:rPr>
          <w:rFonts w:eastAsia="宋体" w:hAnsi="Calibri" w:cs="Times New Roman" w:hint="eastAsia"/>
        </w:rPr>
        <w:t>1.87%</w:t>
      </w:r>
      <w:r w:rsidR="00D430C8" w:rsidRPr="00D430C8">
        <w:rPr>
          <w:rFonts w:eastAsia="宋体" w:hAnsi="Calibri" w:cs="Times New Roman" w:hint="eastAsia"/>
        </w:rPr>
        <w:t>，但</w:t>
      </w:r>
      <w:r w:rsidR="00D430C8" w:rsidRPr="00D430C8">
        <w:rPr>
          <w:rFonts w:eastAsia="宋体" w:hAnsi="Calibri" w:cs="Times New Roman" w:hint="eastAsia"/>
        </w:rPr>
        <w:t>2014</w:t>
      </w:r>
      <w:r w:rsidR="00D430C8" w:rsidRPr="00D430C8">
        <w:rPr>
          <w:rFonts w:eastAsia="宋体" w:hAnsi="Calibri" w:cs="Times New Roman" w:hint="eastAsia"/>
        </w:rPr>
        <w:t>年之后继续上升。</w:t>
      </w:r>
    </w:p>
    <w:p w:rsidR="00775DDD" w:rsidRPr="008230A8" w:rsidRDefault="000A4C50" w:rsidP="007E5BE2">
      <w:pPr>
        <w:spacing w:line="360" w:lineRule="auto"/>
        <w:ind w:firstLineChars="196" w:firstLine="413"/>
        <w:rPr>
          <w:rFonts w:eastAsia="宋体" w:hAnsi="Calibri" w:cs="Times New Roman"/>
          <w:b/>
        </w:rPr>
      </w:pPr>
      <w:r>
        <w:rPr>
          <w:rFonts w:eastAsia="宋体" w:hAnsi="Calibri" w:cs="Times New Roman" w:hint="eastAsia"/>
          <w:b/>
        </w:rPr>
        <w:t>3</w:t>
      </w:r>
      <w:r>
        <w:rPr>
          <w:rFonts w:eastAsia="宋体" w:hAnsi="Calibri" w:cs="Times New Roman" w:hint="eastAsia"/>
          <w:b/>
        </w:rPr>
        <w:t>．</w:t>
      </w:r>
      <w:r w:rsidR="00775DDD" w:rsidRPr="008230A8">
        <w:rPr>
          <w:rFonts w:eastAsia="宋体" w:hAnsi="Calibri" w:cs="Times New Roman" w:hint="eastAsia"/>
          <w:b/>
        </w:rPr>
        <w:t>研究</w:t>
      </w:r>
      <w:r w:rsidR="0081638D">
        <w:rPr>
          <w:rFonts w:eastAsia="宋体" w:hAnsi="Calibri" w:cs="Times New Roman" w:hint="eastAsia"/>
          <w:b/>
        </w:rPr>
        <w:t>结论</w:t>
      </w:r>
    </w:p>
    <w:p w:rsidR="00775DDD" w:rsidRDefault="00775DDD" w:rsidP="00775DDD">
      <w:pPr>
        <w:spacing w:line="360" w:lineRule="auto"/>
        <w:ind w:firstLineChars="200" w:firstLine="420"/>
      </w:pPr>
      <w:r>
        <w:rPr>
          <w:rFonts w:hint="eastAsia"/>
        </w:rPr>
        <w:t>首先，在时间序列分析中的动态研究表明，丝绸之路沿线西部地区尽管在我国旅游产业规模中的份额尚小，但作为旅游产业三大市场的入境旅游市场发展增速比较明显，除在特定</w:t>
      </w:r>
      <w:r w:rsidR="00F35AE6">
        <w:rPr>
          <w:rFonts w:hint="eastAsia"/>
        </w:rPr>
        <w:t>时点上因为全球经济和国内经济波动对</w:t>
      </w:r>
      <w:r>
        <w:rPr>
          <w:rFonts w:hint="eastAsia"/>
        </w:rPr>
        <w:t>跨境旅游影响而呈现小幅回落之外，</w:t>
      </w:r>
      <w:r w:rsidR="00D91B44">
        <w:rPr>
          <w:rFonts w:hint="eastAsia"/>
        </w:rPr>
        <w:t>其他年度均实现较大增长</w:t>
      </w:r>
      <w:r>
        <w:rPr>
          <w:rFonts w:hint="eastAsia"/>
        </w:rPr>
        <w:t>。尤其值得关注的是近</w:t>
      </w:r>
      <w:r>
        <w:rPr>
          <w:rFonts w:hint="eastAsia"/>
        </w:rPr>
        <w:t>5</w:t>
      </w:r>
      <w:r>
        <w:rPr>
          <w:rFonts w:hint="eastAsia"/>
        </w:rPr>
        <w:t>年来丝绸之路沿线西部地区入境旅游人数和收入增长率大幅上升，成为</w:t>
      </w:r>
      <w:r w:rsidR="00D91B44">
        <w:rPr>
          <w:rFonts w:hint="eastAsia"/>
        </w:rPr>
        <w:t>我国</w:t>
      </w:r>
      <w:r>
        <w:rPr>
          <w:rFonts w:hint="eastAsia"/>
        </w:rPr>
        <w:t>入境旅游人数和收入增长最为迅速的地区。其次，近</w:t>
      </w:r>
      <w:r>
        <w:rPr>
          <w:rFonts w:hint="eastAsia"/>
        </w:rPr>
        <w:t>10</w:t>
      </w:r>
      <w:r>
        <w:rPr>
          <w:rFonts w:hint="eastAsia"/>
        </w:rPr>
        <w:t>年来西部地区入境旅游收入的增长幅度超过我国传统入境旅游目的地的华南地区，成为全国入境旅游收入增长率最高的地区。最后，从入境旅游人均消费来看，我国显然存在差距较为明显的二级区域，其中，</w:t>
      </w:r>
      <w:r w:rsidR="00BF4810">
        <w:rPr>
          <w:rFonts w:hint="eastAsia"/>
        </w:rPr>
        <w:t>全国一级</w:t>
      </w:r>
      <w:r w:rsidR="00474C1E">
        <w:rPr>
          <w:rFonts w:hint="eastAsia"/>
        </w:rPr>
        <w:t>区域</w:t>
      </w:r>
      <w:r w:rsidR="00BF4810">
        <w:rPr>
          <w:rFonts w:hint="eastAsia"/>
        </w:rPr>
        <w:t>应属</w:t>
      </w:r>
      <w:r>
        <w:rPr>
          <w:rFonts w:hint="eastAsia"/>
        </w:rPr>
        <w:t>华北和华东地区，二级区域是华南和西部地区，但西部地区旅游人均消费在</w:t>
      </w:r>
      <w:r>
        <w:rPr>
          <w:rFonts w:hint="eastAsia"/>
        </w:rPr>
        <w:t>2016</w:t>
      </w:r>
      <w:r>
        <w:rPr>
          <w:rFonts w:hint="eastAsia"/>
        </w:rPr>
        <w:t>年增长率为全国最高，显示出</w:t>
      </w:r>
      <w:r w:rsidR="00474C1E">
        <w:rPr>
          <w:rFonts w:hint="eastAsia"/>
        </w:rPr>
        <w:t>“一带一路”</w:t>
      </w:r>
      <w:r>
        <w:rPr>
          <w:rFonts w:hint="eastAsia"/>
        </w:rPr>
        <w:t>战略倡议的强大制度和战略影响效应，</w:t>
      </w:r>
      <w:r w:rsidR="00BF4810">
        <w:rPr>
          <w:rFonts w:hint="eastAsia"/>
        </w:rPr>
        <w:t>且可以乐观地认为这一效应将会在未来</w:t>
      </w:r>
      <w:r>
        <w:rPr>
          <w:rFonts w:hint="eastAsia"/>
        </w:rPr>
        <w:t>持续下去。</w:t>
      </w:r>
    </w:p>
    <w:p w:rsidR="00775DDD" w:rsidRDefault="00775DDD" w:rsidP="00775DDD">
      <w:pPr>
        <w:spacing w:line="360" w:lineRule="auto"/>
      </w:pPr>
      <w:r>
        <w:rPr>
          <w:rFonts w:hint="eastAsia"/>
        </w:rPr>
        <w:t xml:space="preserve">    </w:t>
      </w:r>
      <w:r>
        <w:rPr>
          <w:rFonts w:hint="eastAsia"/>
        </w:rPr>
        <w:t>总体看</w:t>
      </w:r>
      <w:r w:rsidR="00474C1E">
        <w:rPr>
          <w:rFonts w:hint="eastAsia"/>
        </w:rPr>
        <w:t>，</w:t>
      </w:r>
      <w:r>
        <w:rPr>
          <w:rFonts w:hint="eastAsia"/>
        </w:rPr>
        <w:t>无论是过去还是现在</w:t>
      </w:r>
      <w:r w:rsidR="00474C1E">
        <w:rPr>
          <w:rFonts w:hint="eastAsia"/>
        </w:rPr>
        <w:t>，</w:t>
      </w:r>
      <w:r>
        <w:rPr>
          <w:rFonts w:hint="eastAsia"/>
        </w:rPr>
        <w:t>丝绸之路沿线的入境旅游在全国的占比还相当低（</w:t>
      </w:r>
      <w:r>
        <w:rPr>
          <w:rFonts w:hint="eastAsia"/>
        </w:rPr>
        <w:t>2016</w:t>
      </w:r>
      <w:r>
        <w:rPr>
          <w:rFonts w:hint="eastAsia"/>
        </w:rPr>
        <w:t>入境人数占比</w:t>
      </w:r>
      <w:r>
        <w:rPr>
          <w:rFonts w:hint="eastAsia"/>
        </w:rPr>
        <w:t>4.04%</w:t>
      </w:r>
      <w:r>
        <w:rPr>
          <w:rFonts w:hint="eastAsia"/>
        </w:rPr>
        <w:t>，入境收入占比</w:t>
      </w:r>
      <w:r>
        <w:rPr>
          <w:rFonts w:hint="eastAsia"/>
        </w:rPr>
        <w:t>2.12%</w:t>
      </w:r>
      <w:r>
        <w:rPr>
          <w:rFonts w:hint="eastAsia"/>
        </w:rPr>
        <w:t>），但在“一带一路”倡议逐渐向纵深发展且全球影响力和对全球地缘旅游经济的改变越来越显著的态势下，我们有理由相信丝绸之路旅游，尤其是我国丝绸之路跨境旅游的发展一定预示着这一区域跨境旅游的强劲势头，也在迅速地改写着我国入境旅游区域结构和区域格局。</w:t>
      </w:r>
    </w:p>
    <w:p w:rsidR="00B34920" w:rsidRPr="00B34920" w:rsidRDefault="00A74A38" w:rsidP="00E365FF">
      <w:pPr>
        <w:spacing w:line="360" w:lineRule="auto"/>
        <w:ind w:firstLineChars="200" w:firstLine="422"/>
        <w:jc w:val="center"/>
        <w:rPr>
          <w:b/>
        </w:rPr>
      </w:pPr>
      <w:r>
        <w:rPr>
          <w:rFonts w:hint="eastAsia"/>
          <w:b/>
        </w:rPr>
        <w:t>二</w:t>
      </w:r>
      <w:r w:rsidR="00B34920">
        <w:rPr>
          <w:rFonts w:hint="eastAsia"/>
          <w:b/>
        </w:rPr>
        <w:t>、</w:t>
      </w:r>
      <w:r w:rsidR="00B21ADB">
        <w:rPr>
          <w:rFonts w:hint="eastAsia"/>
          <w:b/>
        </w:rPr>
        <w:t>丝绸之路跨</w:t>
      </w:r>
      <w:r w:rsidR="00837439">
        <w:rPr>
          <w:rFonts w:hint="eastAsia"/>
          <w:b/>
        </w:rPr>
        <w:t>境旅游</w:t>
      </w:r>
      <w:r w:rsidR="00B34920" w:rsidRPr="00B34920">
        <w:rPr>
          <w:b/>
        </w:rPr>
        <w:t>的</w:t>
      </w:r>
      <w:r w:rsidR="00837439">
        <w:rPr>
          <w:rFonts w:hint="eastAsia"/>
          <w:b/>
        </w:rPr>
        <w:t>战略</w:t>
      </w:r>
      <w:r w:rsidR="00B34920" w:rsidRPr="00B34920">
        <w:rPr>
          <w:b/>
        </w:rPr>
        <w:t>价值分析</w:t>
      </w:r>
    </w:p>
    <w:p w:rsidR="00B34920" w:rsidRPr="00B34920" w:rsidRDefault="000E15C9" w:rsidP="00B34920">
      <w:pPr>
        <w:spacing w:line="360" w:lineRule="auto"/>
        <w:ind w:firstLineChars="200" w:firstLine="420"/>
        <w:rPr>
          <w:rFonts w:eastAsia="宋体" w:hAnsi="Calibri" w:cs="Times New Roman"/>
        </w:rPr>
      </w:pPr>
      <w:r>
        <w:rPr>
          <w:rFonts w:eastAsia="宋体" w:hAnsi="Calibri" w:cs="Times New Roman" w:hint="eastAsia"/>
        </w:rPr>
        <w:t>1.</w:t>
      </w:r>
      <w:r w:rsidR="00B21ADB">
        <w:rPr>
          <w:rFonts w:eastAsia="宋体" w:hAnsi="Calibri" w:cs="Times New Roman" w:hint="eastAsia"/>
        </w:rPr>
        <w:t>丝绸之路跨境</w:t>
      </w:r>
      <w:r w:rsidR="00B34920" w:rsidRPr="00B34920">
        <w:rPr>
          <w:rFonts w:eastAsia="宋体" w:hAnsi="Calibri" w:cs="Times New Roman" w:hint="eastAsia"/>
        </w:rPr>
        <w:t>旅游</w:t>
      </w:r>
      <w:r w:rsidR="00B21ADB">
        <w:rPr>
          <w:rFonts w:eastAsia="宋体" w:hAnsi="Calibri" w:cs="Times New Roman" w:hint="eastAsia"/>
        </w:rPr>
        <w:t>——尤其具有先发效应的入境旅游——</w:t>
      </w:r>
      <w:r w:rsidR="00B34920" w:rsidRPr="00B34920">
        <w:rPr>
          <w:rFonts w:eastAsia="宋体" w:hAnsi="Calibri" w:cs="Times New Roman" w:hint="eastAsia"/>
        </w:rPr>
        <w:t>是“民心相通”的重要产业选项。在“一带一路”战略向纵深推进的当下，关键是通过“民心相通”实现中国与沿线国家的互信，建立基于可持续发展的人文与信任基础；而基于双向文化、人文、经济和社会多重交流功能的现代旅游产业发展则可实现“一带一路”客源国人民与目的地人民之间的平等的交流，在实现旅游经济双边价值的同时更重要地增进情感、相互信任与学习，为其它联系建立重要的以信任为重要内核的基础。</w:t>
      </w:r>
    </w:p>
    <w:p w:rsidR="00B34920" w:rsidRPr="00B34920" w:rsidRDefault="00B34920" w:rsidP="00B34920">
      <w:pPr>
        <w:spacing w:line="360" w:lineRule="auto"/>
        <w:ind w:firstLineChars="200" w:firstLine="420"/>
        <w:rPr>
          <w:rFonts w:eastAsia="宋体" w:hAnsi="Calibri" w:cs="Times New Roman"/>
        </w:rPr>
      </w:pPr>
      <w:r>
        <w:rPr>
          <w:rFonts w:eastAsia="宋体" w:hAnsi="Calibri" w:cs="Times New Roman" w:hint="eastAsia"/>
        </w:rPr>
        <w:t>2.</w:t>
      </w:r>
      <w:r w:rsidR="005F6BA1">
        <w:rPr>
          <w:rFonts w:eastAsia="宋体" w:hAnsi="Calibri" w:cs="Times New Roman" w:hint="eastAsia"/>
        </w:rPr>
        <w:t>大力推进丝绸之路跨境</w:t>
      </w:r>
      <w:r w:rsidRPr="00B34920">
        <w:rPr>
          <w:rFonts w:eastAsia="宋体" w:hAnsi="Calibri" w:cs="Times New Roman" w:hint="eastAsia"/>
        </w:rPr>
        <w:t>文化旅游产业是新开放条件下内陆地区推动开放发展的重要契机。与我国八九十年代的开放条件不同，我国内陆尤其是西北地区在国际产业差度甚至国</w:t>
      </w:r>
      <w:r w:rsidRPr="00B34920">
        <w:rPr>
          <w:rFonts w:eastAsia="宋体" w:hAnsi="Calibri" w:cs="Times New Roman" w:hint="eastAsia"/>
        </w:rPr>
        <w:lastRenderedPageBreak/>
        <w:t>内产业经济差度存在的历史条件下，如无发展开放经济的比较产业优势必沦为“空心经济”或“通道经济”的不利发展条件，在当下的互联网经济条件和发达物流网络条件下更是如此。而以文化为基本交流内容的旅游产业发展则具有天然的产业比较优势，必将成为丝绸之路经济带沿线西部省区在日渐向纵深发展的“一带一路”战略实施中最具有开放价值和增长价值的比较优势产业。</w:t>
      </w:r>
    </w:p>
    <w:p w:rsidR="00B34920" w:rsidRPr="00B34920" w:rsidRDefault="00B34920" w:rsidP="00B34920">
      <w:pPr>
        <w:spacing w:line="360" w:lineRule="auto"/>
        <w:ind w:firstLineChars="200" w:firstLine="420"/>
        <w:rPr>
          <w:rFonts w:eastAsia="宋体" w:hAnsi="Calibri" w:cs="Times New Roman"/>
        </w:rPr>
      </w:pPr>
      <w:r>
        <w:rPr>
          <w:rFonts w:eastAsia="宋体" w:hAnsi="Calibri" w:cs="Times New Roman" w:hint="eastAsia"/>
        </w:rPr>
        <w:t>3.</w:t>
      </w:r>
      <w:r w:rsidR="005F6BA1">
        <w:rPr>
          <w:rFonts w:eastAsia="宋体" w:hAnsi="Calibri" w:cs="Times New Roman" w:hint="eastAsia"/>
        </w:rPr>
        <w:t>推进文化旅游产业发展也是丝绸之路沿线区域</w:t>
      </w:r>
      <w:r w:rsidRPr="00B34920">
        <w:rPr>
          <w:rFonts w:eastAsia="宋体" w:hAnsi="Calibri" w:cs="Times New Roman" w:hint="eastAsia"/>
        </w:rPr>
        <w:t>在国内产业分工格局中的必然选择，也是我国西部省份资源禀赋条件所规定的。我国战略上的第一轮开放已有四十多年，其间中国和世界都发生了重大变化，在产业战略层面上的主要结果已经较为成型的国际国内产业分工格局，而西部地区尤其是西北地区在这一产业分工发展中越来越处于不利地区，以科技创新和出口导向的新经济类型已很难成为西部地区产业经济发展中的新增长极产业。而具有资源天赋性质和高度垄断性质的文化为内容、旅游产业作为载体的现代旅游业恰恰可以成为在新一轮向西开放条件下的比较优势鲜明的产业选项。</w:t>
      </w:r>
    </w:p>
    <w:p w:rsidR="00B34920" w:rsidRPr="00B34920" w:rsidRDefault="00B34920" w:rsidP="00B34920">
      <w:pPr>
        <w:spacing w:line="360" w:lineRule="auto"/>
        <w:ind w:firstLineChars="200" w:firstLine="420"/>
        <w:rPr>
          <w:rFonts w:eastAsia="宋体" w:hAnsi="Calibri" w:cs="Times New Roman"/>
        </w:rPr>
      </w:pPr>
      <w:r>
        <w:rPr>
          <w:rFonts w:eastAsia="宋体" w:hAnsi="Calibri" w:cs="Times New Roman" w:hint="eastAsia"/>
        </w:rPr>
        <w:t>4.</w:t>
      </w:r>
      <w:r w:rsidRPr="00B34920">
        <w:rPr>
          <w:rFonts w:eastAsia="宋体" w:hAnsi="Calibri" w:cs="Times New Roman" w:hint="eastAsia"/>
        </w:rPr>
        <w:t>丝绸之路是人类迄今为止最重要的文明交互时空，也属于人类共同的文化记忆，具有发展现代旅游产业重要的文化意义。自汉唐时</w:t>
      </w:r>
      <w:r w:rsidRPr="00B34920">
        <w:rPr>
          <w:rFonts w:eastAsia="宋体" w:hAnsi="Calibri" w:cs="Times New Roman" w:hint="eastAsia"/>
        </w:rPr>
        <w:t xml:space="preserve"> </w:t>
      </w:r>
      <w:r w:rsidRPr="00B34920">
        <w:rPr>
          <w:rFonts w:eastAsia="宋体" w:hAnsi="Calibri" w:cs="Times New Roman" w:hint="eastAsia"/>
        </w:rPr>
        <w:t>“凿空西域”段这一通道成为人类有史以来东西方文明最重要的融合区以来，人类文明的图景就发生了很大变化，在东西方经济文化社会和人的交往空前加深以后，大大推动了人类的发展，这一文明交互空间的形成深刻地改变了人类文明的格局。因此，丝绸之路尤其是陆上丝绸之路便成为了具有传承和迭代意义的东西方共有的文化记忆和相像，而这一记忆和想象的实现方式便当然地以现代旅游产业为担当。在“一带一路”战略推进中，以“文化记忆”和“文化想像”为基本动机、以人的双向流动为基本型域和以现代旅游产业运行为基本特征的跨境旅游应当是题中应有之义。</w:t>
      </w:r>
    </w:p>
    <w:p w:rsidR="00B34920" w:rsidRPr="00B34920" w:rsidRDefault="00B34920" w:rsidP="00B34920">
      <w:pPr>
        <w:spacing w:line="360" w:lineRule="auto"/>
        <w:ind w:firstLineChars="200" w:firstLine="420"/>
        <w:rPr>
          <w:rFonts w:eastAsia="宋体" w:hAnsi="Calibri" w:cs="Times New Roman"/>
          <w:b/>
        </w:rPr>
      </w:pPr>
      <w:r>
        <w:rPr>
          <w:rFonts w:eastAsia="宋体" w:hAnsi="Calibri" w:cs="Times New Roman" w:hint="eastAsia"/>
        </w:rPr>
        <w:t>5.</w:t>
      </w:r>
      <w:r w:rsidRPr="00B34920">
        <w:rPr>
          <w:rFonts w:eastAsia="宋体" w:hAnsi="Calibri" w:cs="Times New Roman" w:hint="eastAsia"/>
        </w:rPr>
        <w:t>旅游近二十年的发展，丝绸之路沿线西部各省区已有了相当的旅游产业发展（包括跨境旅游发展）的基础。实际上，丝绸之路经济带沿线的西部地区，尤其是西北内陆地区的陕西、甘肃、青海、宁夏和新疆五个省区在产业发展和结构演变中其发展重点越来越委于现代文化旅游产业，在其经济总量和产业分量中文化旅游产业的比重越来越大，基本已成为这些地区的优势产业、龙头产业甚至支柱产业，五个省区旅游产业占地区</w:t>
      </w:r>
      <w:r w:rsidRPr="00B34920">
        <w:rPr>
          <w:rFonts w:eastAsia="宋体" w:hAnsi="Calibri" w:cs="Times New Roman" w:hint="eastAsia"/>
        </w:rPr>
        <w:t>GDP</w:t>
      </w:r>
      <w:r w:rsidRPr="00B34920">
        <w:rPr>
          <w:rFonts w:eastAsia="宋体" w:hAnsi="Calibri" w:cs="Times New Roman" w:hint="eastAsia"/>
        </w:rPr>
        <w:t>比重均超过</w:t>
      </w:r>
      <w:r w:rsidRPr="00B34920">
        <w:rPr>
          <w:rFonts w:eastAsia="宋体" w:hAnsi="Calibri" w:cs="Times New Roman" w:hint="eastAsia"/>
        </w:rPr>
        <w:t>10%</w:t>
      </w:r>
      <w:r w:rsidRPr="00B34920">
        <w:rPr>
          <w:rFonts w:eastAsia="宋体" w:hAnsi="Calibri" w:cs="Times New Roman" w:hint="eastAsia"/>
        </w:rPr>
        <w:t>，这既是区域政府审时度势、通过发展引领和政策导向获得的发展绩效，但也是市场力量在资源配置过程中作用的必然结果；而且，西部地区这些省区越来越根据现代旅游产业发展需要进行基础设施建设和产业配置建设的布局，由国家主导或区域主导的高铁、高速公路及市县镇交通网络有意识向重点旅游资源集聚区集中，以着力解决国内旅游和跨境旅游的“可进入性”问题，如甘肃支线机场建设、高铁建设和通用机场建设首先考虑国内远距离的入境游客</w:t>
      </w:r>
      <w:r w:rsidRPr="00B34920">
        <w:rPr>
          <w:rFonts w:eastAsia="宋体" w:hAnsi="Calibri" w:cs="Times New Roman" w:hint="eastAsia"/>
        </w:rPr>
        <w:lastRenderedPageBreak/>
        <w:t>的入出问题。如果在国家战略背景下这些区域的区域产业战略定位更加明确、精准和稳定，这一区域的基础设施建设条件将会更加适应于现代旅游产业发展。</w:t>
      </w:r>
    </w:p>
    <w:p w:rsidR="00B34920" w:rsidRPr="00B34920" w:rsidRDefault="00A74A38" w:rsidP="00E365FF">
      <w:pPr>
        <w:spacing w:line="360" w:lineRule="auto"/>
        <w:ind w:firstLineChars="200" w:firstLine="422"/>
        <w:jc w:val="center"/>
        <w:rPr>
          <w:b/>
        </w:rPr>
      </w:pPr>
      <w:r>
        <w:rPr>
          <w:rFonts w:eastAsia="宋体" w:hAnsi="Calibri" w:cs="Times New Roman" w:hint="eastAsia"/>
          <w:b/>
        </w:rPr>
        <w:t>三</w:t>
      </w:r>
      <w:r w:rsidR="00B34920" w:rsidRPr="00B34920">
        <w:rPr>
          <w:rFonts w:eastAsia="宋体" w:hAnsi="Calibri" w:cs="Times New Roman" w:hint="eastAsia"/>
          <w:b/>
        </w:rPr>
        <w:t>、</w:t>
      </w:r>
      <w:r w:rsidR="002252D6">
        <w:rPr>
          <w:rFonts w:hint="eastAsia"/>
          <w:b/>
        </w:rPr>
        <w:t>“一带一路”背景</w:t>
      </w:r>
      <w:r w:rsidR="00994FE8">
        <w:rPr>
          <w:rFonts w:hint="eastAsia"/>
          <w:b/>
        </w:rPr>
        <w:t>下西部</w:t>
      </w:r>
      <w:r w:rsidR="002252D6">
        <w:rPr>
          <w:rFonts w:hint="eastAsia"/>
          <w:b/>
        </w:rPr>
        <w:t>入境旅游</w:t>
      </w:r>
      <w:r w:rsidR="00994FE8">
        <w:rPr>
          <w:rFonts w:hint="eastAsia"/>
          <w:b/>
        </w:rPr>
        <w:t>发展</w:t>
      </w:r>
      <w:r w:rsidR="002252D6">
        <w:rPr>
          <w:rFonts w:hint="eastAsia"/>
          <w:b/>
        </w:rPr>
        <w:t>的</w:t>
      </w:r>
      <w:r w:rsidR="00994FE8">
        <w:rPr>
          <w:rFonts w:hint="eastAsia"/>
          <w:b/>
        </w:rPr>
        <w:t>战略</w:t>
      </w:r>
      <w:r w:rsidR="00B34920" w:rsidRPr="00B34920">
        <w:rPr>
          <w:rFonts w:hint="eastAsia"/>
          <w:b/>
        </w:rPr>
        <w:t>构想</w:t>
      </w:r>
    </w:p>
    <w:p w:rsidR="00B34920" w:rsidRDefault="00B34920" w:rsidP="00B34920">
      <w:pPr>
        <w:spacing w:line="360" w:lineRule="auto"/>
        <w:ind w:firstLineChars="200" w:firstLine="420"/>
      </w:pPr>
      <w:r>
        <w:rPr>
          <w:rFonts w:hint="eastAsia"/>
        </w:rPr>
        <w:t>1.</w:t>
      </w:r>
      <w:r>
        <w:rPr>
          <w:rFonts w:hint="eastAsia"/>
        </w:rPr>
        <w:t>“一带一路”战略的空间布局与地缘经济优势改变了西北地区开放发展条件，使这一区域面临产业发展的良好前景，这是西北地区旅游产业发展空间条件与地缘经济条件的重大变化。必须在</w:t>
      </w:r>
      <w:r w:rsidRPr="003247AA">
        <w:rPr>
          <w:rFonts w:hint="eastAsia"/>
        </w:rPr>
        <w:t>这一</w:t>
      </w:r>
      <w:r>
        <w:rPr>
          <w:rFonts w:hint="eastAsia"/>
        </w:rPr>
        <w:t>战略背景下认识旅游产业发展</w:t>
      </w:r>
      <w:r w:rsidRPr="003247AA">
        <w:rPr>
          <w:rFonts w:hint="eastAsia"/>
        </w:rPr>
        <w:t>对</w:t>
      </w:r>
      <w:r>
        <w:rPr>
          <w:rFonts w:hint="eastAsia"/>
        </w:rPr>
        <w:t>西北地区开放战略成长的先导作用。西部地区是承接我国东部产业转移的重要基地、我国向西开放的战略高地、我国资源产品和服务西出的重要通道以及</w:t>
      </w:r>
      <w:r w:rsidRPr="003247AA">
        <w:rPr>
          <w:rFonts w:hint="eastAsia"/>
        </w:rPr>
        <w:t>与</w:t>
      </w:r>
      <w:r>
        <w:rPr>
          <w:rFonts w:hint="eastAsia"/>
        </w:rPr>
        <w:t>我国区域经济新增长相适应的重要路段和“时带”，旅游产业在向西开放发展中由于其</w:t>
      </w:r>
      <w:r w:rsidRPr="00B34920">
        <w:rPr>
          <w:rFonts w:hint="eastAsia"/>
        </w:rPr>
        <w:t>经济属性、</w:t>
      </w:r>
      <w:r>
        <w:rPr>
          <w:rFonts w:hint="eastAsia"/>
        </w:rPr>
        <w:t>市场性、民间性及自发性等特质可以迅速地形成新的发展</w:t>
      </w:r>
      <w:r w:rsidRPr="003247AA">
        <w:rPr>
          <w:rFonts w:hint="eastAsia"/>
        </w:rPr>
        <w:t>类型，</w:t>
      </w:r>
      <w:r>
        <w:rPr>
          <w:rFonts w:hint="eastAsia"/>
        </w:rPr>
        <w:t>较快地改善这一区域旅游经济和本体结构并形成开放发展新态势。</w:t>
      </w:r>
    </w:p>
    <w:p w:rsidR="00B34920" w:rsidRDefault="00B34920" w:rsidP="00B34920">
      <w:pPr>
        <w:spacing w:line="360" w:lineRule="auto"/>
        <w:ind w:firstLineChars="200" w:firstLine="420"/>
      </w:pPr>
      <w:r>
        <w:rPr>
          <w:rFonts w:hint="eastAsia"/>
        </w:rPr>
        <w:t>2.</w:t>
      </w:r>
      <w:r>
        <w:rPr>
          <w:rFonts w:hint="eastAsia"/>
        </w:rPr>
        <w:t>在我国第一轮开放</w:t>
      </w:r>
      <w:r w:rsidRPr="00B34920">
        <w:rPr>
          <w:rFonts w:hint="eastAsia"/>
        </w:rPr>
        <w:t>四十年</w:t>
      </w:r>
      <w:r>
        <w:rPr>
          <w:rFonts w:hint="eastAsia"/>
        </w:rPr>
        <w:t>之后，囿于市场化的资源配置基本方式的国内经济格局已经形成并基本固化，这部分地决定着我国东、中、西三大区域在新一轮向西开放进程中的国际经济属性，从而，西北地区各省区很可能在越来越纵深发展的向西开放中沦为通道，存在向西开放发展中的“甩出效应”。因此，对应于“一带一路”战略，将西北地区拥有绝对</w:t>
      </w:r>
      <w:bookmarkStart w:id="1" w:name="_Hlk484595573"/>
      <w:r>
        <w:rPr>
          <w:rFonts w:hint="eastAsia"/>
        </w:rPr>
        <w:t>比较优势</w:t>
      </w:r>
      <w:bookmarkEnd w:id="1"/>
      <w:r>
        <w:rPr>
          <w:rFonts w:hint="eastAsia"/>
        </w:rPr>
        <w:t>的资源型产业、现代畜牧业、现代农业以及现代旅游产业定位</w:t>
      </w:r>
      <w:r w:rsidRPr="00801A88">
        <w:rPr>
          <w:rFonts w:hint="eastAsia"/>
        </w:rPr>
        <w:t>为</w:t>
      </w:r>
      <w:r>
        <w:rPr>
          <w:rFonts w:hint="eastAsia"/>
        </w:rPr>
        <w:t>向西开放的战略先导性产业就成为战略定位中的重中之重，而文化旅游产业更应定位为具有引领和启动属性的重头启动产业；在产业发展基本层次和结构定位上，则要考虑承接入境旅游和国内大半径经济圈旅游为未来建设和发展的重点。</w:t>
      </w:r>
    </w:p>
    <w:p w:rsidR="00B34920" w:rsidRDefault="00B34920" w:rsidP="00B34920">
      <w:pPr>
        <w:spacing w:line="360" w:lineRule="auto"/>
        <w:ind w:firstLineChars="200" w:firstLine="420"/>
      </w:pPr>
      <w:r>
        <w:rPr>
          <w:rFonts w:hint="eastAsia"/>
        </w:rPr>
        <w:t>3.</w:t>
      </w:r>
      <w:r>
        <w:rPr>
          <w:rFonts w:hint="eastAsia"/>
        </w:rPr>
        <w:t>应合理安排和制定入境旅游的产业属性，充分而精准地认识丝绸之路经济带沿线西北地区各省区旅游资源的</w:t>
      </w:r>
      <w:r w:rsidRPr="00B34920">
        <w:rPr>
          <w:rFonts w:hint="eastAsia"/>
        </w:rPr>
        <w:t>分布与游客</w:t>
      </w:r>
      <w:r>
        <w:rPr>
          <w:rFonts w:hint="eastAsia"/>
        </w:rPr>
        <w:t>——尤其是入境旅游消费的动机指向及消费效用获取的主要方式，对西北地区入境旅游游客的细分指标的初步分析和感知</w:t>
      </w:r>
      <w:r w:rsidRPr="00EE571C">
        <w:rPr>
          <w:rFonts w:hint="eastAsia"/>
        </w:rPr>
        <w:t>调查</w:t>
      </w:r>
      <w:r>
        <w:rPr>
          <w:rFonts w:hint="eastAsia"/>
        </w:rPr>
        <w:t>.</w:t>
      </w:r>
      <w:r>
        <w:rPr>
          <w:rFonts w:hint="eastAsia"/>
        </w:rPr>
        <w:t>作为丝绸之路腹地的这一区域</w:t>
      </w:r>
      <w:r w:rsidRPr="00EE571C">
        <w:rPr>
          <w:rFonts w:hint="eastAsia"/>
        </w:rPr>
        <w:t>拥有</w:t>
      </w:r>
      <w:r>
        <w:rPr>
          <w:rFonts w:hint="eastAsia"/>
        </w:rPr>
        <w:t>悠久而厚重的文化</w:t>
      </w:r>
      <w:r w:rsidRPr="00EE571C">
        <w:rPr>
          <w:rFonts w:hint="eastAsia"/>
        </w:rPr>
        <w:t>想象、</w:t>
      </w:r>
      <w:r>
        <w:rPr>
          <w:rFonts w:hint="eastAsia"/>
        </w:rPr>
        <w:t>丰富多彩的民族文化以及与文化融合新业态形成的体验经济类型当是开发入境旅游的重要因素；而西北地区相对于我国东部和中部显著不良的</w:t>
      </w:r>
      <w:r w:rsidRPr="00B34920">
        <w:rPr>
          <w:rFonts w:hint="eastAsia"/>
        </w:rPr>
        <w:t>自然</w:t>
      </w:r>
      <w:r>
        <w:rPr>
          <w:rFonts w:hint="eastAsia"/>
        </w:rPr>
        <w:t>环境和条件也限制了这一区域入境旅游的旅游指向与效用空间。因此，大力发展观光体验旅游为基本特征的旅游形态应当成为这一区域旅游产业发展的战略重点，同时应高度考虑这一区域自然资源、文化资源及产业资源的历史差异与特定性，资源与产业融合发展形成的新型旅游类型也应当是体验旅游相当重要的内容，如宁夏和甘肃的伊斯兰文化旅游，甘肃河西走廊的体育节事旅游、陕西的农耕文化形态旅游以及新疆的自然和民族风情有机互补的旅游形态等。</w:t>
      </w:r>
    </w:p>
    <w:p w:rsidR="00B34920" w:rsidRDefault="00B34920" w:rsidP="00B34920">
      <w:pPr>
        <w:spacing w:line="360" w:lineRule="auto"/>
        <w:ind w:firstLineChars="200" w:firstLine="420"/>
      </w:pPr>
      <w:r>
        <w:rPr>
          <w:rFonts w:hint="eastAsia"/>
        </w:rPr>
        <w:t>4.</w:t>
      </w:r>
      <w:r>
        <w:rPr>
          <w:rFonts w:hint="eastAsia"/>
        </w:rPr>
        <w:t>丝绸之路沿线西北地区各省区应在发展中高度重视区域旅游发展形成既分省区</w:t>
      </w:r>
      <w:r w:rsidRPr="009C46E5">
        <w:rPr>
          <w:rFonts w:hint="eastAsia"/>
        </w:rPr>
        <w:t>又</w:t>
      </w:r>
      <w:r>
        <w:rPr>
          <w:rFonts w:hint="eastAsia"/>
        </w:rPr>
        <w:t>相</w:t>
      </w:r>
      <w:r>
        <w:rPr>
          <w:rFonts w:hint="eastAsia"/>
        </w:rPr>
        <w:lastRenderedPageBreak/>
        <w:t>互协作的、以丝绸文化为基本内容的旅游产业空间战略格局与开放格局。传播与认知规律表明，空间距离远近与游客选择替代存在紧密的关系，空间距离越近则游客越倾向于对于相邻区域进行由此及彼的替代选择（即使在文化本体上相邻区域差异很大），因此，丝绸之路沿线各省区一定要适应有效的、高度差异化的旅游资源与产品分工格局，切忌资源和产品</w:t>
      </w:r>
      <w:r w:rsidRPr="009C46E5">
        <w:rPr>
          <w:rFonts w:hint="eastAsia"/>
        </w:rPr>
        <w:t>类型上的</w:t>
      </w:r>
      <w:r>
        <w:rPr>
          <w:rFonts w:hint="eastAsia"/>
        </w:rPr>
        <w:t>的重复和叠加；同时，应充分认识到各省区作为丝绸之路文化的整体性、交融性和</w:t>
      </w:r>
      <w:r w:rsidRPr="00B34920">
        <w:rPr>
          <w:rFonts w:hint="eastAsia"/>
        </w:rPr>
        <w:t>递延</w:t>
      </w:r>
      <w:r w:rsidRPr="009C46E5">
        <w:rPr>
          <w:rFonts w:hint="eastAsia"/>
        </w:rPr>
        <w:t>性</w:t>
      </w:r>
      <w:r>
        <w:rPr>
          <w:rFonts w:hint="eastAsia"/>
        </w:rPr>
        <w:t>，形成互补而不是替代、部分而不是单体的、关联而不是分割的</w:t>
      </w:r>
      <w:r w:rsidRPr="009C46E5">
        <w:rPr>
          <w:rFonts w:hint="eastAsia"/>
        </w:rPr>
        <w:t>完整</w:t>
      </w:r>
      <w:r>
        <w:rPr>
          <w:rFonts w:hint="eastAsia"/>
        </w:rPr>
        <w:t>丝绸之路文化产品和由此决定的“文化链”和“旅游链”，并将这一</w:t>
      </w:r>
      <w:r w:rsidRPr="009C46E5">
        <w:rPr>
          <w:rFonts w:hint="eastAsia"/>
        </w:rPr>
        <w:t>完整</w:t>
      </w:r>
      <w:r>
        <w:rPr>
          <w:rFonts w:hint="eastAsia"/>
        </w:rPr>
        <w:t>产品在时空</w:t>
      </w:r>
      <w:r w:rsidRPr="009C46E5">
        <w:rPr>
          <w:rFonts w:hint="eastAsia"/>
        </w:rPr>
        <w:t>上</w:t>
      </w:r>
      <w:r>
        <w:rPr>
          <w:rFonts w:hint="eastAsia"/>
        </w:rPr>
        <w:t>进行有效地分割，对</w:t>
      </w:r>
      <w:r w:rsidRPr="009C46E5">
        <w:rPr>
          <w:rFonts w:hint="eastAsia"/>
        </w:rPr>
        <w:t>转型成的现实旅游产品</w:t>
      </w:r>
      <w:r>
        <w:rPr>
          <w:rFonts w:hint="eastAsia"/>
        </w:rPr>
        <w:t>进行整体营销和部分营销。有必要指出的是随着中国与丝绸之路沿线中亚、中东及欧洲地区互信的</w:t>
      </w:r>
      <w:r w:rsidRPr="009C46E5">
        <w:rPr>
          <w:rFonts w:hint="eastAsia"/>
        </w:rPr>
        <w:t>建立</w:t>
      </w:r>
      <w:r>
        <w:rPr>
          <w:rFonts w:hint="eastAsia"/>
        </w:rPr>
        <w:t>，交通、通信、签证等</w:t>
      </w:r>
      <w:r w:rsidRPr="00B34920">
        <w:rPr>
          <w:rFonts w:hint="eastAsia"/>
        </w:rPr>
        <w:t>一系列</w:t>
      </w:r>
      <w:r>
        <w:rPr>
          <w:rFonts w:hint="eastAsia"/>
        </w:rPr>
        <w:t>旅游便利化条件的初步形成，丝绸之路文化旅游形象的国际定位和传播必须适应在整体丝绸之路和区域协作发展展望的基础上，这更需要政府在更高层面上的战略介入。</w:t>
      </w:r>
    </w:p>
    <w:p w:rsidR="007504E8" w:rsidRDefault="007504E8" w:rsidP="00B34920">
      <w:pPr>
        <w:spacing w:line="360" w:lineRule="auto"/>
        <w:ind w:firstLineChars="200" w:firstLine="420"/>
      </w:pPr>
      <w:r>
        <w:rPr>
          <w:rFonts w:hint="eastAsia"/>
        </w:rPr>
        <w:t>5.</w:t>
      </w:r>
      <w:r>
        <w:rPr>
          <w:rFonts w:hint="eastAsia"/>
        </w:rPr>
        <w:t>中国丝绸之路是一个整体，但是在区域地理层面上又是由不同区段组成的，对丝绸之路沿线西部区域的子区域而言，能否成为入境旅游目的地，要进行现代旅游业</w:t>
      </w:r>
      <w:r w:rsidR="007C68DF">
        <w:rPr>
          <w:rFonts w:hint="eastAsia"/>
        </w:rPr>
        <w:t>意义上的理性和规范评价。丝绸之路对于不同的子区域而言，对于入境旅游目的地而言，有可能是“点”，也有可能是“面”和“线”</w:t>
      </w:r>
      <w:r w:rsidR="004F58CA">
        <w:rPr>
          <w:rFonts w:hint="eastAsia"/>
        </w:rPr>
        <w:t>，要区分丝绸之路的不同区段</w:t>
      </w:r>
      <w:r w:rsidR="007A75C3">
        <w:rPr>
          <w:rFonts w:hint="eastAsia"/>
        </w:rPr>
        <w:t>的不同特质，按照文化旅游的相应时空类型进行精心打造和形象传播</w:t>
      </w:r>
      <w:r w:rsidR="00E67E4D">
        <w:rPr>
          <w:rFonts w:hint="eastAsia"/>
        </w:rPr>
        <w:t>。比如，路上丝绸之路的重要区段——甘肃河西走廊</w:t>
      </w:r>
      <w:r w:rsidR="00EF1294">
        <w:rPr>
          <w:rFonts w:hint="eastAsia"/>
        </w:rPr>
        <w:t>，就是一个最适宜进行“线”层面上系统打造的</w:t>
      </w:r>
      <w:r w:rsidR="00883F1C">
        <w:rPr>
          <w:rFonts w:hint="eastAsia"/>
        </w:rPr>
        <w:t>全球</w:t>
      </w:r>
      <w:r w:rsidR="00EF1294">
        <w:rPr>
          <w:rFonts w:hint="eastAsia"/>
        </w:rPr>
        <w:t>文化旅游目的地，可以考虑以“丝绸之路——河西走廊国际文化旅游廊道”的型致</w:t>
      </w:r>
      <w:r w:rsidR="00DD0B27">
        <w:rPr>
          <w:rFonts w:hint="eastAsia"/>
        </w:rPr>
        <w:t>进行跨区域、全方位的建设和打造，在可预期的未来，使之成为全球首选的跨境旅游目的地</w:t>
      </w:r>
      <w:r w:rsidR="00946641">
        <w:rPr>
          <w:rFonts w:hint="eastAsia"/>
        </w:rPr>
        <w:t>，并可能形成对丝绸之路沿线其他西部区域的强大的示范和联动效应</w:t>
      </w:r>
      <w:r w:rsidR="00DD0B27">
        <w:rPr>
          <w:rFonts w:hint="eastAsia"/>
        </w:rPr>
        <w:t>。</w:t>
      </w:r>
    </w:p>
    <w:p w:rsidR="00B34920" w:rsidRPr="00B34920" w:rsidRDefault="00B34920" w:rsidP="00E201B9">
      <w:pPr>
        <w:ind w:firstLineChars="200" w:firstLine="420"/>
      </w:pPr>
    </w:p>
    <w:sectPr w:rsidR="00B34920" w:rsidRPr="00B34920" w:rsidSect="001964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85" w:rsidRDefault="00B05085" w:rsidP="00BF4679">
      <w:r>
        <w:separator/>
      </w:r>
    </w:p>
  </w:endnote>
  <w:endnote w:type="continuationSeparator" w:id="0">
    <w:p w:rsidR="00B05085" w:rsidRDefault="00B05085" w:rsidP="00BF4679">
      <w:r>
        <w:continuationSeparator/>
      </w:r>
    </w:p>
  </w:endnote>
  <w:endnote w:id="1">
    <w:p w:rsidR="003A5EFA" w:rsidRPr="001D76B7" w:rsidRDefault="003A5EFA" w:rsidP="00D0562D">
      <w:pPr>
        <w:shd w:val="clear" w:color="auto" w:fill="FFFFFF"/>
        <w:spacing w:before="100" w:beforeAutospacing="1" w:after="135" w:line="360" w:lineRule="auto"/>
        <w:rPr>
          <w:rFonts w:ascii="Arial Unicode MS" w:eastAsia="Arial Unicode MS" w:hAnsi="Arial Unicode MS" w:cs="Arial Unicode MS"/>
          <w:color w:val="2E2E2E"/>
        </w:rPr>
      </w:pPr>
      <w:r w:rsidRPr="001D76B7">
        <w:t>[1]</w:t>
      </w:r>
      <w:r>
        <w:t xml:space="preserve"> </w:t>
      </w:r>
      <w:hyperlink r:id="rId1" w:history="1">
        <w:r w:rsidRPr="00F01191">
          <w:rPr>
            <w:rFonts w:hint="eastAsia"/>
          </w:rPr>
          <w:t>Susana Cr</w:t>
        </w:r>
        <w:r w:rsidRPr="00F01191">
          <w:rPr>
            <w:rFonts w:hint="eastAsia"/>
          </w:rPr>
          <w:t>ó</w:t>
        </w:r>
      </w:hyperlink>
      <w:r>
        <w:rPr>
          <w:rFonts w:hint="eastAsia"/>
        </w:rPr>
        <w:t>.</w:t>
      </w:r>
      <w:r w:rsidRPr="00F01191">
        <w:rPr>
          <w:rFonts w:hint="eastAsia"/>
        </w:rPr>
        <w:t xml:space="preserve"> </w:t>
      </w:r>
      <w:r w:rsidRPr="009C392B">
        <w:rPr>
          <w:rFonts w:hint="eastAsia"/>
        </w:rPr>
        <w:t>Structural breaks in international tourism demand: Are they caused by crises or disasters?</w:t>
      </w:r>
      <w:r w:rsidRPr="001D76B7">
        <w:t xml:space="preserve"> </w:t>
      </w:r>
      <w:r>
        <w:rPr>
          <w:rFonts w:hint="eastAsia"/>
        </w:rPr>
        <w:t>[J</w:t>
      </w:r>
      <w:proofErr w:type="gramStart"/>
      <w:r>
        <w:rPr>
          <w:rFonts w:hint="eastAsia"/>
        </w:rPr>
        <w:t>]</w:t>
      </w:r>
      <w:r w:rsidR="00465274" w:rsidRPr="00465274">
        <w:rPr>
          <w:rFonts w:hint="eastAsia"/>
        </w:rPr>
        <w:t xml:space="preserve"> </w:t>
      </w:r>
      <w:r w:rsidR="00465274">
        <w:rPr>
          <w:rFonts w:hint="eastAsia"/>
        </w:rPr>
        <w:t>.</w:t>
      </w:r>
      <w:proofErr w:type="gramEnd"/>
      <w:r w:rsidR="00B05085">
        <w:fldChar w:fldCharType="begin"/>
      </w:r>
      <w:r w:rsidR="00B05085">
        <w:instrText xml:space="preserve"> HYPERLINK "http://www.sciencedirect.com/science/journal/02615177" \o "Go to Tourism Management on ScienceDirect" </w:instrText>
      </w:r>
      <w:r w:rsidR="00B05085">
        <w:fldChar w:fldCharType="separate"/>
      </w:r>
      <w:r w:rsidRPr="00F01191">
        <w:rPr>
          <w:rFonts w:hint="eastAsia"/>
        </w:rPr>
        <w:t>Tourism Management</w:t>
      </w:r>
      <w:r w:rsidR="00B05085">
        <w:fldChar w:fldCharType="end"/>
      </w:r>
      <w:proofErr w:type="gramStart"/>
      <w:r w:rsidR="00465274">
        <w:rPr>
          <w:rFonts w:hint="eastAsia"/>
        </w:rPr>
        <w:t>,</w:t>
      </w:r>
      <w:r>
        <w:rPr>
          <w:rFonts w:hint="eastAsia"/>
        </w:rPr>
        <w:t>2017</w:t>
      </w:r>
      <w:proofErr w:type="gramEnd"/>
      <w:r w:rsidR="00465274">
        <w:rPr>
          <w:rFonts w:hint="eastAsia"/>
        </w:rPr>
        <w:t>(63)</w:t>
      </w:r>
      <w:r>
        <w:rPr>
          <w:rFonts w:hint="eastAsia"/>
        </w:rPr>
        <w:t>:3-9.</w:t>
      </w:r>
      <w:r w:rsidRPr="001D76B7">
        <w:rPr>
          <w:rFonts w:ascii="Arial Unicode MS" w:eastAsia="Arial Unicode MS" w:hAnsi="Arial Unicode MS" w:cs="Arial Unicode MS"/>
          <w:color w:val="2E2E2E"/>
        </w:rPr>
        <w:t xml:space="preserve"> </w:t>
      </w:r>
    </w:p>
  </w:endnote>
  <w:endnote w:id="2">
    <w:p w:rsidR="003A5EFA" w:rsidRPr="00BD4235" w:rsidRDefault="003A5EFA" w:rsidP="00D0562D">
      <w:pPr>
        <w:pStyle w:val="a7"/>
        <w:spacing w:line="360" w:lineRule="auto"/>
      </w:pPr>
      <w:r>
        <w:rPr>
          <w:rStyle w:val="a8"/>
        </w:rPr>
        <w:t>[</w:t>
      </w:r>
      <w:r w:rsidR="005B5DD9">
        <w:rPr>
          <w:rStyle w:val="a8"/>
          <w:rFonts w:hint="eastAsia"/>
        </w:rPr>
        <w:t>2</w:t>
      </w:r>
      <w:r>
        <w:rPr>
          <w:rStyle w:val="a8"/>
        </w:rPr>
        <w:t>]</w:t>
      </w:r>
      <w:r>
        <w:t xml:space="preserve"> </w:t>
      </w:r>
      <w:r>
        <w:rPr>
          <w:rFonts w:hint="eastAsia"/>
        </w:rPr>
        <w:t>孙根年，杨忍，</w:t>
      </w:r>
      <w:r w:rsidR="00924948">
        <w:rPr>
          <w:rFonts w:hint="eastAsia"/>
        </w:rPr>
        <w:t>姚宏</w:t>
      </w:r>
      <w:r>
        <w:rPr>
          <w:rFonts w:hint="eastAsia"/>
        </w:rPr>
        <w:t>．基于重心模型的中国入境旅游地域结构演变研究</w:t>
      </w:r>
      <w:r>
        <w:rPr>
          <w:rFonts w:hint="eastAsia"/>
        </w:rPr>
        <w:t>[J]</w:t>
      </w:r>
      <w:r>
        <w:rPr>
          <w:rFonts w:hint="eastAsia"/>
        </w:rPr>
        <w:t>．干旱区资源与环境</w:t>
      </w:r>
      <w:r>
        <w:rPr>
          <w:rFonts w:hint="eastAsia"/>
        </w:rPr>
        <w:t>[J]</w:t>
      </w:r>
      <w:r>
        <w:rPr>
          <w:rFonts w:hint="eastAsia"/>
        </w:rPr>
        <w:t>，</w:t>
      </w:r>
      <w:r>
        <w:rPr>
          <w:rFonts w:hint="eastAsia"/>
        </w:rPr>
        <w:t>2008</w:t>
      </w:r>
      <w:r w:rsidR="00465274">
        <w:rPr>
          <w:rFonts w:hint="eastAsia"/>
        </w:rPr>
        <w:t>，</w:t>
      </w:r>
      <w:r>
        <w:rPr>
          <w:rFonts w:hint="eastAsia"/>
        </w:rPr>
        <w:t>22</w:t>
      </w:r>
      <w:r>
        <w:rPr>
          <w:rFonts w:hint="eastAsia"/>
        </w:rPr>
        <w:t>（</w:t>
      </w:r>
      <w:r>
        <w:rPr>
          <w:rFonts w:hint="eastAsia"/>
        </w:rPr>
        <w:t>7</w:t>
      </w:r>
      <w:r>
        <w:rPr>
          <w:rFonts w:hint="eastAsia"/>
        </w:rPr>
        <w:t>）：</w:t>
      </w:r>
      <w:r>
        <w:rPr>
          <w:rFonts w:hint="eastAsia"/>
        </w:rPr>
        <w:t>151-153.</w:t>
      </w:r>
    </w:p>
  </w:endnote>
  <w:endnote w:id="3">
    <w:p w:rsidR="003A5EFA" w:rsidRPr="00BD4235" w:rsidRDefault="003A5EFA" w:rsidP="00D0562D">
      <w:pPr>
        <w:pStyle w:val="a7"/>
        <w:spacing w:line="360" w:lineRule="auto"/>
      </w:pPr>
      <w:r>
        <w:rPr>
          <w:rStyle w:val="a8"/>
        </w:rPr>
        <w:t>[</w:t>
      </w:r>
      <w:r w:rsidR="005B5DD9">
        <w:rPr>
          <w:rStyle w:val="a8"/>
          <w:rFonts w:hint="eastAsia"/>
        </w:rPr>
        <w:t>3</w:t>
      </w:r>
      <w:r>
        <w:rPr>
          <w:rStyle w:val="a8"/>
        </w:rPr>
        <w:t>]</w:t>
      </w:r>
      <w:r>
        <w:t xml:space="preserve"> </w:t>
      </w:r>
      <w:r>
        <w:rPr>
          <w:rFonts w:hint="eastAsia"/>
        </w:rPr>
        <w:t>何俊阳，何灵，邓淇中．</w:t>
      </w:r>
      <w:proofErr w:type="gramStart"/>
      <w:r>
        <w:rPr>
          <w:rFonts w:hint="eastAsia"/>
        </w:rPr>
        <w:t>泛珠三角区</w:t>
      </w:r>
      <w:proofErr w:type="gramEnd"/>
      <w:r>
        <w:rPr>
          <w:rFonts w:hint="eastAsia"/>
        </w:rPr>
        <w:t>域入境旅游发展效率评价及其影响因素</w:t>
      </w:r>
      <w:r>
        <w:rPr>
          <w:rFonts w:hint="eastAsia"/>
        </w:rPr>
        <w:t>[J]</w:t>
      </w:r>
      <w:r>
        <w:rPr>
          <w:rFonts w:hint="eastAsia"/>
        </w:rPr>
        <w:t>．经济地理，</w:t>
      </w:r>
      <w:r>
        <w:rPr>
          <w:rFonts w:hint="eastAsia"/>
        </w:rPr>
        <w:t>2016</w:t>
      </w:r>
      <w:r>
        <w:rPr>
          <w:rFonts w:hint="eastAsia"/>
        </w:rPr>
        <w:t>，</w:t>
      </w:r>
      <w:r>
        <w:rPr>
          <w:rFonts w:hint="eastAsia"/>
        </w:rPr>
        <w:t>36</w:t>
      </w:r>
      <w:r>
        <w:rPr>
          <w:rFonts w:hint="eastAsia"/>
        </w:rPr>
        <w:t>（</w:t>
      </w:r>
      <w:r>
        <w:rPr>
          <w:rFonts w:hint="eastAsia"/>
        </w:rPr>
        <w:t>2</w:t>
      </w:r>
      <w:r>
        <w:rPr>
          <w:rFonts w:hint="eastAsia"/>
        </w:rPr>
        <w:t>）：</w:t>
      </w:r>
      <w:r>
        <w:rPr>
          <w:rFonts w:hint="eastAsia"/>
        </w:rPr>
        <w:t>196-199</w:t>
      </w:r>
      <w:r>
        <w:rPr>
          <w:rFonts w:hint="eastAsia"/>
        </w:rPr>
        <w:t>．</w:t>
      </w:r>
    </w:p>
  </w:endnote>
  <w:endnote w:id="4">
    <w:p w:rsidR="003A5EFA" w:rsidRPr="00AA3755" w:rsidRDefault="003A5EFA" w:rsidP="00D0562D">
      <w:pPr>
        <w:pStyle w:val="a7"/>
        <w:spacing w:line="360" w:lineRule="auto"/>
      </w:pPr>
      <w:r>
        <w:rPr>
          <w:rStyle w:val="a8"/>
        </w:rPr>
        <w:t>[</w:t>
      </w:r>
      <w:r w:rsidR="005B5DD9">
        <w:rPr>
          <w:rStyle w:val="a8"/>
          <w:rFonts w:hint="eastAsia"/>
        </w:rPr>
        <w:t>4</w:t>
      </w:r>
      <w:r>
        <w:rPr>
          <w:rStyle w:val="a8"/>
        </w:rPr>
        <w:t>]</w:t>
      </w:r>
      <w:r>
        <w:t xml:space="preserve"> </w:t>
      </w:r>
      <w:r>
        <w:rPr>
          <w:rFonts w:hint="eastAsia"/>
        </w:rPr>
        <w:t>刘宏盈．广东入境旅游流西向扩散距离衰减规律研究</w:t>
      </w:r>
      <w:r>
        <w:rPr>
          <w:rFonts w:hint="eastAsia"/>
        </w:rPr>
        <w:t>[J]</w:t>
      </w:r>
      <w:r>
        <w:rPr>
          <w:rFonts w:hint="eastAsia"/>
        </w:rPr>
        <w:t>．经济地理，</w:t>
      </w:r>
      <w:r>
        <w:rPr>
          <w:rFonts w:hint="eastAsia"/>
        </w:rPr>
        <w:t>2012</w:t>
      </w:r>
      <w:r w:rsidR="00D0539A">
        <w:rPr>
          <w:rFonts w:hint="eastAsia"/>
        </w:rPr>
        <w:t>，</w:t>
      </w:r>
      <w:r>
        <w:rPr>
          <w:rFonts w:hint="eastAsia"/>
        </w:rPr>
        <w:t>32</w:t>
      </w:r>
      <w:r>
        <w:rPr>
          <w:rFonts w:hint="eastAsia"/>
        </w:rPr>
        <w:t>（</w:t>
      </w:r>
      <w:r>
        <w:rPr>
          <w:rFonts w:hint="eastAsia"/>
        </w:rPr>
        <w:t>11</w:t>
      </w:r>
      <w:r>
        <w:rPr>
          <w:rFonts w:hint="eastAsia"/>
        </w:rPr>
        <w:t>）：</w:t>
      </w:r>
      <w:r>
        <w:rPr>
          <w:rFonts w:hint="eastAsia"/>
        </w:rPr>
        <w:t>162-170</w:t>
      </w:r>
      <w:r>
        <w:rPr>
          <w:rFonts w:hint="eastAsia"/>
        </w:rPr>
        <w:t>．</w:t>
      </w:r>
    </w:p>
  </w:endnote>
  <w:endnote w:id="5">
    <w:p w:rsidR="003A5EFA" w:rsidRPr="00AA3755" w:rsidRDefault="003A5EFA" w:rsidP="00D0562D">
      <w:pPr>
        <w:pStyle w:val="a7"/>
        <w:spacing w:line="360" w:lineRule="auto"/>
      </w:pPr>
      <w:r>
        <w:rPr>
          <w:rStyle w:val="a8"/>
        </w:rPr>
        <w:t>[</w:t>
      </w:r>
      <w:r w:rsidR="005B5DD9">
        <w:rPr>
          <w:rStyle w:val="a8"/>
          <w:rFonts w:hint="eastAsia"/>
        </w:rPr>
        <w:t>5</w:t>
      </w:r>
      <w:r>
        <w:rPr>
          <w:rStyle w:val="a8"/>
        </w:rPr>
        <w:t>]</w:t>
      </w:r>
      <w:r>
        <w:t xml:space="preserve"> </w:t>
      </w:r>
      <w:r>
        <w:rPr>
          <w:rFonts w:hint="eastAsia"/>
        </w:rPr>
        <w:t>冯娜，李君轶</w:t>
      </w:r>
      <w:r w:rsidR="00D0539A">
        <w:rPr>
          <w:rFonts w:hint="eastAsia"/>
        </w:rPr>
        <w:t>．</w:t>
      </w:r>
      <w:r>
        <w:rPr>
          <w:rFonts w:hint="eastAsia"/>
        </w:rPr>
        <w:t>外向在线旅游信息流与入境旅游流的耦合分析——以美加入境旅游流为例</w:t>
      </w:r>
      <w:r>
        <w:rPr>
          <w:rFonts w:hint="eastAsia"/>
        </w:rPr>
        <w:t>[J]</w:t>
      </w:r>
      <w:r>
        <w:rPr>
          <w:rFonts w:hint="eastAsia"/>
        </w:rPr>
        <w:t>．旅游学刊</w:t>
      </w:r>
      <w:r w:rsidR="00D0539A">
        <w:rPr>
          <w:rFonts w:hint="eastAsia"/>
        </w:rPr>
        <w:t>，</w:t>
      </w:r>
      <w:r>
        <w:rPr>
          <w:rFonts w:hint="eastAsia"/>
        </w:rPr>
        <w:t>2014</w:t>
      </w:r>
      <w:r w:rsidR="00D0539A">
        <w:rPr>
          <w:rFonts w:hint="eastAsia"/>
        </w:rPr>
        <w:t>，</w:t>
      </w:r>
      <w:r>
        <w:rPr>
          <w:rFonts w:hint="eastAsia"/>
        </w:rPr>
        <w:t>29</w:t>
      </w:r>
      <w:r>
        <w:rPr>
          <w:rFonts w:hint="eastAsia"/>
        </w:rPr>
        <w:t>（</w:t>
      </w:r>
      <w:r>
        <w:rPr>
          <w:rFonts w:hint="eastAsia"/>
        </w:rPr>
        <w:t>4</w:t>
      </w:r>
      <w:r>
        <w:rPr>
          <w:rFonts w:hint="eastAsia"/>
        </w:rPr>
        <w:t>）：</w:t>
      </w:r>
      <w:r>
        <w:rPr>
          <w:rFonts w:hint="eastAsia"/>
        </w:rPr>
        <w:t>79-84</w:t>
      </w:r>
      <w:r>
        <w:rPr>
          <w:rFonts w:hint="eastAsia"/>
        </w:rPr>
        <w:t>．</w:t>
      </w:r>
    </w:p>
  </w:endnote>
  <w:endnote w:id="6">
    <w:p w:rsidR="003A5EFA" w:rsidRPr="009B3466" w:rsidRDefault="003A5EFA" w:rsidP="00D0562D">
      <w:pPr>
        <w:pStyle w:val="a7"/>
        <w:spacing w:line="360" w:lineRule="auto"/>
      </w:pPr>
      <w:r>
        <w:rPr>
          <w:rStyle w:val="a8"/>
        </w:rPr>
        <w:t>[</w:t>
      </w:r>
      <w:r w:rsidR="005B5DD9">
        <w:rPr>
          <w:rStyle w:val="a8"/>
          <w:rFonts w:hint="eastAsia"/>
        </w:rPr>
        <w:t>6</w:t>
      </w:r>
      <w:r>
        <w:rPr>
          <w:rStyle w:val="a8"/>
        </w:rPr>
        <w:t>]</w:t>
      </w:r>
      <w:r>
        <w:t xml:space="preserve"> </w:t>
      </w:r>
      <w:r>
        <w:rPr>
          <w:rFonts w:hint="eastAsia"/>
        </w:rPr>
        <w:t>韩立宁，吴晋峰，任瑞萍，等．</w:t>
      </w:r>
      <w:r>
        <w:rPr>
          <w:rFonts w:hint="eastAsia"/>
        </w:rPr>
        <w:t>1995-2010</w:t>
      </w:r>
      <w:r>
        <w:rPr>
          <w:rFonts w:hint="eastAsia"/>
        </w:rPr>
        <w:t>年间中国入境旅游客源</w:t>
      </w:r>
      <w:proofErr w:type="gramStart"/>
      <w:r>
        <w:rPr>
          <w:rFonts w:hint="eastAsia"/>
        </w:rPr>
        <w:t>国结构</w:t>
      </w:r>
      <w:proofErr w:type="gramEnd"/>
      <w:r>
        <w:rPr>
          <w:rFonts w:hint="eastAsia"/>
        </w:rPr>
        <w:t>动态研究</w:t>
      </w:r>
      <w:r>
        <w:rPr>
          <w:rFonts w:hint="eastAsia"/>
        </w:rPr>
        <w:t>[J]</w:t>
      </w:r>
      <w:r>
        <w:rPr>
          <w:rFonts w:hint="eastAsia"/>
        </w:rPr>
        <w:t>．地域研究与开发，</w:t>
      </w:r>
      <w:r>
        <w:rPr>
          <w:rFonts w:hint="eastAsia"/>
        </w:rPr>
        <w:t>2013</w:t>
      </w:r>
      <w:r>
        <w:rPr>
          <w:rFonts w:hint="eastAsia"/>
        </w:rPr>
        <w:t>，</w:t>
      </w:r>
      <w:r>
        <w:rPr>
          <w:rFonts w:hint="eastAsia"/>
        </w:rPr>
        <w:t>32</w:t>
      </w:r>
      <w:r>
        <w:rPr>
          <w:rFonts w:hint="eastAsia"/>
        </w:rPr>
        <w:t>（</w:t>
      </w:r>
      <w:r>
        <w:rPr>
          <w:rFonts w:hint="eastAsia"/>
        </w:rPr>
        <w:t>1</w:t>
      </w:r>
      <w:r>
        <w:rPr>
          <w:rFonts w:hint="eastAsia"/>
        </w:rPr>
        <w:t>）：</w:t>
      </w:r>
      <w:r>
        <w:rPr>
          <w:rFonts w:hint="eastAsia"/>
        </w:rPr>
        <w:t>81-85</w:t>
      </w:r>
      <w:r>
        <w:rPr>
          <w:rFonts w:hint="eastAsia"/>
        </w:rPr>
        <w:t>．</w:t>
      </w:r>
    </w:p>
  </w:endnote>
  <w:endnote w:id="7">
    <w:p w:rsidR="003A5EFA" w:rsidRPr="007C21EF" w:rsidRDefault="003A5EFA" w:rsidP="00D0562D">
      <w:pPr>
        <w:pStyle w:val="a7"/>
        <w:spacing w:line="360" w:lineRule="auto"/>
      </w:pPr>
      <w:r>
        <w:rPr>
          <w:rStyle w:val="a8"/>
        </w:rPr>
        <w:t>[</w:t>
      </w:r>
      <w:r w:rsidR="005B5DD9">
        <w:rPr>
          <w:rStyle w:val="a8"/>
          <w:rFonts w:hint="eastAsia"/>
        </w:rPr>
        <w:t>7</w:t>
      </w:r>
      <w:r>
        <w:rPr>
          <w:rStyle w:val="a8"/>
        </w:rPr>
        <w:t>]</w:t>
      </w:r>
      <w:r>
        <w:t xml:space="preserve"> </w:t>
      </w:r>
      <w:r>
        <w:rPr>
          <w:rFonts w:hint="eastAsia"/>
        </w:rPr>
        <w:t>全华，赵磊，陈田，等．入境游客客源市场结构实证分析——以江苏省为例</w:t>
      </w:r>
      <w:r>
        <w:rPr>
          <w:rFonts w:hint="eastAsia"/>
        </w:rPr>
        <w:t>[J]</w:t>
      </w:r>
      <w:r>
        <w:rPr>
          <w:rFonts w:hint="eastAsia"/>
        </w:rPr>
        <w:t>．经济地理，</w:t>
      </w:r>
      <w:r>
        <w:rPr>
          <w:rFonts w:hint="eastAsia"/>
        </w:rPr>
        <w:t>2012</w:t>
      </w:r>
      <w:r>
        <w:rPr>
          <w:rFonts w:hint="eastAsia"/>
        </w:rPr>
        <w:t>，</w:t>
      </w:r>
      <w:r>
        <w:rPr>
          <w:rFonts w:hint="eastAsia"/>
        </w:rPr>
        <w:t>32</w:t>
      </w:r>
      <w:r>
        <w:rPr>
          <w:rFonts w:hint="eastAsia"/>
        </w:rPr>
        <w:t>（</w:t>
      </w:r>
      <w:r>
        <w:rPr>
          <w:rFonts w:hint="eastAsia"/>
        </w:rPr>
        <w:t>1</w:t>
      </w:r>
      <w:r>
        <w:rPr>
          <w:rFonts w:hint="eastAsia"/>
        </w:rPr>
        <w:t>）：</w:t>
      </w:r>
      <w:r>
        <w:rPr>
          <w:rFonts w:hint="eastAsia"/>
        </w:rPr>
        <w:t>146-152.</w:t>
      </w:r>
    </w:p>
  </w:endnote>
  <w:endnote w:id="8">
    <w:p w:rsidR="003A5EFA" w:rsidRPr="002F75EF" w:rsidRDefault="003A5EFA" w:rsidP="00D0562D">
      <w:pPr>
        <w:pStyle w:val="a7"/>
        <w:spacing w:line="360" w:lineRule="auto"/>
      </w:pPr>
      <w:r>
        <w:rPr>
          <w:rStyle w:val="a8"/>
        </w:rPr>
        <w:t>[</w:t>
      </w:r>
      <w:r w:rsidR="005B5DD9">
        <w:rPr>
          <w:rStyle w:val="a8"/>
          <w:rFonts w:hint="eastAsia"/>
        </w:rPr>
        <w:t>8</w:t>
      </w:r>
      <w:r>
        <w:rPr>
          <w:rStyle w:val="a8"/>
        </w:rPr>
        <w:t>]</w:t>
      </w:r>
      <w:r>
        <w:t xml:space="preserve"> </w:t>
      </w:r>
      <w:r>
        <w:rPr>
          <w:rFonts w:hint="eastAsia"/>
        </w:rPr>
        <w:t>张瑞英，席建超，葛全胜．</w:t>
      </w:r>
      <w:r>
        <w:rPr>
          <w:rFonts w:hint="eastAsia"/>
        </w:rPr>
        <w:t>1996-2013</w:t>
      </w:r>
      <w:r>
        <w:rPr>
          <w:rFonts w:hint="eastAsia"/>
        </w:rPr>
        <w:t>年中国入境旅游市场时空演变研究：结构效应与空间效应</w:t>
      </w:r>
      <w:r>
        <w:rPr>
          <w:rFonts w:hint="eastAsia"/>
        </w:rPr>
        <w:t>[J]</w:t>
      </w:r>
      <w:r>
        <w:rPr>
          <w:rFonts w:hint="eastAsia"/>
        </w:rPr>
        <w:t>．地域研究与开发，</w:t>
      </w:r>
      <w:r>
        <w:rPr>
          <w:rFonts w:hint="eastAsia"/>
        </w:rPr>
        <w:t>2014</w:t>
      </w:r>
      <w:r>
        <w:rPr>
          <w:rFonts w:hint="eastAsia"/>
        </w:rPr>
        <w:t>，</w:t>
      </w:r>
      <w:r>
        <w:rPr>
          <w:rFonts w:hint="eastAsia"/>
        </w:rPr>
        <w:t>33</w:t>
      </w:r>
      <w:r>
        <w:rPr>
          <w:rFonts w:hint="eastAsia"/>
        </w:rPr>
        <w:t>（</w:t>
      </w:r>
      <w:r>
        <w:rPr>
          <w:rFonts w:hint="eastAsia"/>
        </w:rPr>
        <w:t>6</w:t>
      </w:r>
      <w:r>
        <w:rPr>
          <w:rFonts w:hint="eastAsia"/>
        </w:rPr>
        <w:t>），</w:t>
      </w:r>
      <w:r>
        <w:rPr>
          <w:rFonts w:hint="eastAsia"/>
        </w:rPr>
        <w:t>81-85</w:t>
      </w:r>
      <w:r>
        <w:rPr>
          <w:rFonts w:hint="eastAsia"/>
        </w:rPr>
        <w:t>．</w:t>
      </w:r>
    </w:p>
  </w:endnote>
  <w:endnote w:id="9">
    <w:p w:rsidR="003A5EFA" w:rsidRPr="001D76B7" w:rsidRDefault="003A5EFA" w:rsidP="00D0562D">
      <w:pPr>
        <w:pStyle w:val="a7"/>
        <w:spacing w:line="360" w:lineRule="auto"/>
      </w:pPr>
      <w:r>
        <w:rPr>
          <w:rStyle w:val="a8"/>
        </w:rPr>
        <w:t>[</w:t>
      </w:r>
      <w:r w:rsidR="005B5DD9">
        <w:rPr>
          <w:rStyle w:val="a8"/>
          <w:rFonts w:hint="eastAsia"/>
        </w:rPr>
        <w:t>9</w:t>
      </w:r>
      <w:r>
        <w:rPr>
          <w:rStyle w:val="a8"/>
        </w:rPr>
        <w:t>]</w:t>
      </w:r>
      <w:r>
        <w:t xml:space="preserve"> </w:t>
      </w:r>
      <w:proofErr w:type="gramStart"/>
      <w:r>
        <w:rPr>
          <w:rFonts w:hint="eastAsia"/>
        </w:rPr>
        <w:t>赵书华</w:t>
      </w:r>
      <w:proofErr w:type="gramEnd"/>
      <w:r>
        <w:rPr>
          <w:rFonts w:hint="eastAsia"/>
        </w:rPr>
        <w:t>，李辉．全球旅游服务贸易</w:t>
      </w:r>
      <w:r>
        <w:rPr>
          <w:rFonts w:hint="eastAsia"/>
        </w:rPr>
        <w:t>9</w:t>
      </w:r>
      <w:r>
        <w:rPr>
          <w:rFonts w:hint="eastAsia"/>
        </w:rPr>
        <w:t>强的国际竞争力定量分析</w:t>
      </w:r>
      <w:r>
        <w:rPr>
          <w:rFonts w:hint="eastAsia"/>
        </w:rPr>
        <w:t>[J]</w:t>
      </w:r>
      <w:r>
        <w:rPr>
          <w:rFonts w:hint="eastAsia"/>
        </w:rPr>
        <w:t>．世界经济研究，</w:t>
      </w:r>
      <w:r>
        <w:rPr>
          <w:rFonts w:hint="eastAsia"/>
        </w:rPr>
        <w:t>2005</w:t>
      </w:r>
      <w:r w:rsidR="00924948">
        <w:rPr>
          <w:rFonts w:hint="eastAsia"/>
        </w:rPr>
        <w:t>（</w:t>
      </w:r>
      <w:r w:rsidR="00924948">
        <w:rPr>
          <w:rFonts w:hint="eastAsia"/>
        </w:rPr>
        <w:t>8</w:t>
      </w:r>
      <w:r w:rsidR="00924948">
        <w:rPr>
          <w:rFonts w:hint="eastAsia"/>
        </w:rPr>
        <w:t>）</w:t>
      </w:r>
      <w:r>
        <w:rPr>
          <w:rFonts w:hint="eastAsia"/>
        </w:rPr>
        <w:t>：</w:t>
      </w:r>
      <w:r>
        <w:rPr>
          <w:rFonts w:hint="eastAsia"/>
        </w:rPr>
        <w:t>59-63</w:t>
      </w:r>
      <w:r>
        <w:rPr>
          <w:rFonts w:hint="eastAsia"/>
        </w:rPr>
        <w:t>．</w:t>
      </w:r>
    </w:p>
  </w:endnote>
  <w:endnote w:id="10">
    <w:p w:rsidR="003A5EFA" w:rsidRPr="002D538D" w:rsidRDefault="003A5EFA" w:rsidP="00D0562D">
      <w:pPr>
        <w:pStyle w:val="a7"/>
        <w:spacing w:line="360" w:lineRule="auto"/>
      </w:pPr>
      <w:r>
        <w:rPr>
          <w:rStyle w:val="a8"/>
        </w:rPr>
        <w:t>[1</w:t>
      </w:r>
      <w:r w:rsidR="005B5DD9">
        <w:rPr>
          <w:rStyle w:val="a8"/>
          <w:rFonts w:hint="eastAsia"/>
        </w:rPr>
        <w:t>0</w:t>
      </w:r>
      <w:r>
        <w:rPr>
          <w:rStyle w:val="a8"/>
        </w:rPr>
        <w:t>]</w:t>
      </w:r>
      <w:r>
        <w:t xml:space="preserve"> </w:t>
      </w:r>
      <w:r>
        <w:rPr>
          <w:rFonts w:hint="eastAsia"/>
        </w:rPr>
        <w:t>冯学钢，赖坤．中国旅游业发展环境国际竞争力比较研究</w:t>
      </w:r>
      <w:r>
        <w:rPr>
          <w:rFonts w:hint="eastAsia"/>
        </w:rPr>
        <w:t>[J]</w:t>
      </w:r>
      <w:r>
        <w:rPr>
          <w:rFonts w:hint="eastAsia"/>
        </w:rPr>
        <w:t>．世界经济研究，</w:t>
      </w:r>
      <w:r>
        <w:rPr>
          <w:rFonts w:hint="eastAsia"/>
        </w:rPr>
        <w:t>2003</w:t>
      </w:r>
      <w:r w:rsidR="00924948">
        <w:rPr>
          <w:rFonts w:hint="eastAsia"/>
        </w:rPr>
        <w:t>（</w:t>
      </w:r>
      <w:r w:rsidR="00924948">
        <w:rPr>
          <w:rFonts w:hint="eastAsia"/>
        </w:rPr>
        <w:t>7</w:t>
      </w:r>
      <w:r w:rsidR="00924948">
        <w:rPr>
          <w:rFonts w:hint="eastAsia"/>
        </w:rPr>
        <w:t>）：</w:t>
      </w:r>
      <w:r>
        <w:rPr>
          <w:rFonts w:hint="eastAsia"/>
        </w:rPr>
        <w:t>40-45</w:t>
      </w:r>
      <w:r>
        <w:rPr>
          <w:rFonts w:hint="eastAsia"/>
        </w:rPr>
        <w:t>．</w:t>
      </w:r>
    </w:p>
  </w:endnote>
  <w:endnote w:id="11">
    <w:p w:rsidR="003A5EFA" w:rsidRPr="0034435B" w:rsidRDefault="003A5EFA" w:rsidP="00D0562D">
      <w:pPr>
        <w:pStyle w:val="a7"/>
        <w:spacing w:line="360" w:lineRule="auto"/>
        <w:rPr>
          <w:color w:val="FF0000"/>
        </w:rPr>
      </w:pPr>
      <w:r>
        <w:rPr>
          <w:rStyle w:val="a8"/>
        </w:rPr>
        <w:t>[</w:t>
      </w:r>
      <w:r w:rsidRPr="0034435B">
        <w:rPr>
          <w:rStyle w:val="a8"/>
          <w:color w:val="FF0000"/>
        </w:rPr>
        <w:t>1</w:t>
      </w:r>
      <w:r w:rsidR="005B5DD9" w:rsidRPr="0034435B">
        <w:rPr>
          <w:rStyle w:val="a8"/>
          <w:rFonts w:hint="eastAsia"/>
          <w:color w:val="FF0000"/>
        </w:rPr>
        <w:t>1</w:t>
      </w:r>
      <w:r w:rsidRPr="0034435B">
        <w:rPr>
          <w:rStyle w:val="a8"/>
          <w:color w:val="FF0000"/>
        </w:rPr>
        <w:t>]</w:t>
      </w:r>
      <w:r w:rsidRPr="0034435B">
        <w:rPr>
          <w:color w:val="FF0000"/>
        </w:rPr>
        <w:t xml:space="preserve"> </w:t>
      </w:r>
      <w:r w:rsidRPr="0034435B">
        <w:rPr>
          <w:rFonts w:hint="eastAsia"/>
          <w:color w:val="FF0000"/>
        </w:rPr>
        <w:t>李晓义．中国入境旅游——需求因素与对策研究</w:t>
      </w:r>
      <w:r w:rsidRPr="0034435B">
        <w:rPr>
          <w:rFonts w:ascii="Times New Roman" w:hAnsi="Times New Roman" w:cs="Times New Roman"/>
          <w:color w:val="FF0000"/>
        </w:rPr>
        <w:t>[M]</w:t>
      </w:r>
      <w:r w:rsidRPr="0034435B">
        <w:rPr>
          <w:rFonts w:hint="eastAsia"/>
          <w:color w:val="FF0000"/>
        </w:rPr>
        <w:t>．北京，中国旅游出版社，</w:t>
      </w:r>
      <w:r w:rsidRPr="0034435B">
        <w:rPr>
          <w:rFonts w:ascii="Times New Roman" w:hAnsi="Times New Roman" w:cs="Times New Roman"/>
          <w:color w:val="FF0000"/>
        </w:rPr>
        <w:t>第一版</w:t>
      </w:r>
      <w:r w:rsidRPr="0034435B">
        <w:rPr>
          <w:rFonts w:hint="eastAsia"/>
          <w:color w:val="FF0000"/>
        </w:rPr>
        <w:t>，</w:t>
      </w:r>
      <w:r w:rsidRPr="0034435B">
        <w:rPr>
          <w:rFonts w:hint="eastAsia"/>
          <w:color w:val="FF0000"/>
        </w:rPr>
        <w:t>2015</w:t>
      </w:r>
      <w:r w:rsidRPr="0034435B">
        <w:rPr>
          <w:rFonts w:hint="eastAsia"/>
          <w:color w:val="FF0000"/>
        </w:rPr>
        <w:t>，</w:t>
      </w:r>
      <w:r w:rsidRPr="0034435B">
        <w:rPr>
          <w:rFonts w:hint="eastAsia"/>
          <w:color w:val="FF0000"/>
        </w:rPr>
        <w:t>32-49</w:t>
      </w:r>
      <w:r w:rsidRPr="0034435B">
        <w:rPr>
          <w:rFonts w:hint="eastAsia"/>
          <w:color w:val="FF0000"/>
        </w:rPr>
        <w:t>．</w:t>
      </w:r>
    </w:p>
  </w:endnote>
  <w:endnote w:id="12">
    <w:p w:rsidR="003A5EFA" w:rsidRPr="0034435B" w:rsidRDefault="003A5EFA" w:rsidP="00D0562D">
      <w:pPr>
        <w:pStyle w:val="a7"/>
        <w:spacing w:line="360" w:lineRule="auto"/>
        <w:rPr>
          <w:color w:val="FF0000"/>
        </w:rPr>
      </w:pPr>
      <w:r w:rsidRPr="0034435B">
        <w:rPr>
          <w:rStyle w:val="a8"/>
          <w:color w:val="FF0000"/>
        </w:rPr>
        <w:t>[1</w:t>
      </w:r>
      <w:r w:rsidR="005B5DD9" w:rsidRPr="0034435B">
        <w:rPr>
          <w:rStyle w:val="a8"/>
          <w:rFonts w:hint="eastAsia"/>
          <w:color w:val="FF0000"/>
        </w:rPr>
        <w:t>2</w:t>
      </w:r>
      <w:r w:rsidRPr="0034435B">
        <w:rPr>
          <w:rStyle w:val="a8"/>
          <w:color w:val="FF0000"/>
        </w:rPr>
        <w:t>]</w:t>
      </w:r>
      <w:r w:rsidRPr="0034435B">
        <w:rPr>
          <w:color w:val="FF0000"/>
        </w:rPr>
        <w:t xml:space="preserve"> </w:t>
      </w:r>
      <w:r w:rsidRPr="0034435B">
        <w:rPr>
          <w:rFonts w:hint="eastAsia"/>
          <w:color w:val="FF0000"/>
        </w:rPr>
        <w:t>吴良平，张健．危机事件及政策变动对中国入境旅游的影响研究——基于剔除直接价格效应的中国入境旅游收入</w:t>
      </w:r>
      <w:r w:rsidRPr="0034435B">
        <w:rPr>
          <w:rFonts w:hint="eastAsia"/>
          <w:color w:val="FF0000"/>
        </w:rPr>
        <w:t>[J]</w:t>
      </w:r>
      <w:r w:rsidRPr="0034435B">
        <w:rPr>
          <w:rFonts w:hint="eastAsia"/>
          <w:color w:val="FF0000"/>
        </w:rPr>
        <w:t>．旅游学刊，</w:t>
      </w:r>
      <w:r w:rsidRPr="0034435B">
        <w:rPr>
          <w:rFonts w:hint="eastAsia"/>
          <w:color w:val="FF0000"/>
        </w:rPr>
        <w:t>2013</w:t>
      </w:r>
      <w:r w:rsidR="00345976" w:rsidRPr="0034435B">
        <w:rPr>
          <w:rFonts w:hint="eastAsia"/>
          <w:color w:val="FF0000"/>
        </w:rPr>
        <w:t>，</w:t>
      </w:r>
      <w:r w:rsidRPr="0034435B">
        <w:rPr>
          <w:rFonts w:hint="eastAsia"/>
          <w:color w:val="FF0000"/>
        </w:rPr>
        <w:t>28</w:t>
      </w:r>
      <w:r w:rsidRPr="0034435B">
        <w:rPr>
          <w:rFonts w:hint="eastAsia"/>
          <w:color w:val="FF0000"/>
        </w:rPr>
        <w:t>（</w:t>
      </w:r>
      <w:r w:rsidRPr="0034435B">
        <w:rPr>
          <w:rFonts w:hint="eastAsia"/>
          <w:color w:val="FF0000"/>
        </w:rPr>
        <w:t>3</w:t>
      </w:r>
      <w:r w:rsidRPr="0034435B">
        <w:rPr>
          <w:rFonts w:hint="eastAsia"/>
          <w:color w:val="FF0000"/>
        </w:rPr>
        <w:t>）：</w:t>
      </w:r>
      <w:r w:rsidRPr="0034435B">
        <w:rPr>
          <w:rFonts w:hint="eastAsia"/>
          <w:color w:val="FF0000"/>
        </w:rPr>
        <w:t>29-36</w:t>
      </w:r>
      <w:r w:rsidRPr="0034435B">
        <w:rPr>
          <w:rFonts w:hint="eastAsia"/>
          <w:color w:val="FF0000"/>
        </w:rPr>
        <w:t>．</w:t>
      </w:r>
    </w:p>
  </w:endnote>
  <w:endnote w:id="13">
    <w:p w:rsidR="003A5EFA" w:rsidRPr="006E54B3" w:rsidRDefault="003A5EFA" w:rsidP="00D0562D">
      <w:pPr>
        <w:pStyle w:val="a7"/>
        <w:spacing w:line="360" w:lineRule="auto"/>
      </w:pPr>
      <w:r>
        <w:rPr>
          <w:rStyle w:val="a8"/>
        </w:rPr>
        <w:t>[1</w:t>
      </w:r>
      <w:r w:rsidR="005B5DD9">
        <w:rPr>
          <w:rStyle w:val="a8"/>
          <w:rFonts w:hint="eastAsia"/>
        </w:rPr>
        <w:t>3</w:t>
      </w:r>
      <w:r>
        <w:rPr>
          <w:rStyle w:val="a8"/>
        </w:rPr>
        <w:t>]</w:t>
      </w:r>
      <w:r>
        <w:t xml:space="preserve"> </w:t>
      </w:r>
      <w:r>
        <w:rPr>
          <w:rFonts w:hint="eastAsia"/>
        </w:rPr>
        <w:t>苏建军，徐璋勇，赵多平．</w:t>
      </w:r>
      <w:r>
        <w:rPr>
          <w:rFonts w:ascii="Times New Roman" w:hAnsi="Times New Roman" w:cs="Times New Roman" w:hint="eastAsia"/>
        </w:rPr>
        <w:t>国际货物贸易与入境旅游的关系及其溢出效应</w:t>
      </w:r>
      <w:r>
        <w:rPr>
          <w:rFonts w:hint="eastAsia"/>
        </w:rPr>
        <w:t>[J]</w:t>
      </w:r>
      <w:r>
        <w:rPr>
          <w:rFonts w:ascii="Times New Roman" w:hAnsi="Times New Roman" w:cs="Times New Roman" w:hint="eastAsia"/>
        </w:rPr>
        <w:t>．</w:t>
      </w:r>
      <w:r>
        <w:rPr>
          <w:rFonts w:hint="eastAsia"/>
        </w:rPr>
        <w:t>旅游学刊，</w:t>
      </w:r>
      <w:r>
        <w:rPr>
          <w:rFonts w:hint="eastAsia"/>
        </w:rPr>
        <w:t>2013</w:t>
      </w:r>
      <w:r w:rsidR="00345976">
        <w:rPr>
          <w:rFonts w:hint="eastAsia"/>
        </w:rPr>
        <w:t>，</w:t>
      </w:r>
      <w:r>
        <w:rPr>
          <w:rFonts w:hint="eastAsia"/>
        </w:rPr>
        <w:t>28</w:t>
      </w:r>
      <w:r>
        <w:rPr>
          <w:rFonts w:hint="eastAsia"/>
        </w:rPr>
        <w:t>（</w:t>
      </w:r>
      <w:r>
        <w:rPr>
          <w:rFonts w:hint="eastAsia"/>
        </w:rPr>
        <w:t>5</w:t>
      </w:r>
      <w:r>
        <w:rPr>
          <w:rFonts w:hint="eastAsia"/>
        </w:rPr>
        <w:t>）：</w:t>
      </w:r>
      <w:r>
        <w:rPr>
          <w:rFonts w:hint="eastAsia"/>
        </w:rPr>
        <w:t>43-51</w:t>
      </w:r>
      <w:r>
        <w:rPr>
          <w:rFonts w:hint="eastAsia"/>
        </w:rPr>
        <w:t>．</w:t>
      </w:r>
    </w:p>
  </w:endnote>
  <w:endnote w:id="14">
    <w:p w:rsidR="003A5EFA" w:rsidRPr="00531013" w:rsidRDefault="003A5EFA" w:rsidP="00D0562D">
      <w:pPr>
        <w:pStyle w:val="a7"/>
        <w:spacing w:line="360" w:lineRule="auto"/>
      </w:pPr>
      <w:r>
        <w:rPr>
          <w:rStyle w:val="a8"/>
        </w:rPr>
        <w:t>[1</w:t>
      </w:r>
      <w:r w:rsidR="005B5DD9">
        <w:rPr>
          <w:rStyle w:val="a8"/>
          <w:rFonts w:hint="eastAsia"/>
        </w:rPr>
        <w:t>4</w:t>
      </w:r>
      <w:r>
        <w:rPr>
          <w:rStyle w:val="a8"/>
        </w:rPr>
        <w:t>]</w:t>
      </w:r>
      <w:r>
        <w:t xml:space="preserve"> </w:t>
      </w:r>
      <w:r>
        <w:rPr>
          <w:rFonts w:hint="eastAsia"/>
        </w:rPr>
        <w:t>李创新，马耀峰，贺雅坤，等．</w:t>
      </w:r>
      <w:r>
        <w:rPr>
          <w:rFonts w:hint="eastAsia"/>
        </w:rPr>
        <w:t>1994-2008</w:t>
      </w:r>
      <w:r w:rsidR="00472308">
        <w:rPr>
          <w:rFonts w:hint="eastAsia"/>
        </w:rPr>
        <w:t>年</w:t>
      </w:r>
      <w:r>
        <w:rPr>
          <w:rFonts w:hint="eastAsia"/>
        </w:rPr>
        <w:t>西部入境旅游典型省份客流集散时空动态研究——以陕西、四川、云南为例</w:t>
      </w:r>
      <w:r>
        <w:rPr>
          <w:rFonts w:hint="eastAsia"/>
        </w:rPr>
        <w:t>[J]</w:t>
      </w:r>
      <w:r>
        <w:rPr>
          <w:rFonts w:hint="eastAsia"/>
        </w:rPr>
        <w:t>．旅游学刊，</w:t>
      </w:r>
      <w:r>
        <w:rPr>
          <w:rFonts w:hint="eastAsia"/>
        </w:rPr>
        <w:t>2011</w:t>
      </w:r>
      <w:r>
        <w:rPr>
          <w:rFonts w:hint="eastAsia"/>
        </w:rPr>
        <w:t>，</w:t>
      </w:r>
      <w:r>
        <w:rPr>
          <w:rFonts w:hint="eastAsia"/>
        </w:rPr>
        <w:t>26</w:t>
      </w:r>
      <w:r>
        <w:rPr>
          <w:rFonts w:hint="eastAsia"/>
        </w:rPr>
        <w:t>（</w:t>
      </w:r>
      <w:r>
        <w:rPr>
          <w:rFonts w:hint="eastAsia"/>
        </w:rPr>
        <w:t>7</w:t>
      </w:r>
      <w:r>
        <w:rPr>
          <w:rFonts w:hint="eastAsia"/>
        </w:rPr>
        <w:t>）：</w:t>
      </w:r>
      <w:r>
        <w:rPr>
          <w:rFonts w:hint="eastAsia"/>
        </w:rPr>
        <w:t>12-19</w:t>
      </w:r>
      <w:r>
        <w:rPr>
          <w:rFonts w:hint="eastAsia"/>
        </w:rPr>
        <w:t>．</w:t>
      </w:r>
    </w:p>
  </w:endnote>
  <w:endnote w:id="15">
    <w:p w:rsidR="003A5EFA" w:rsidRPr="00424F02" w:rsidRDefault="003A5EFA" w:rsidP="00D0562D">
      <w:pPr>
        <w:pStyle w:val="a7"/>
        <w:spacing w:line="360" w:lineRule="auto"/>
      </w:pPr>
      <w:r>
        <w:rPr>
          <w:rStyle w:val="a8"/>
        </w:rPr>
        <w:t>[1</w:t>
      </w:r>
      <w:r w:rsidR="005B5DD9">
        <w:rPr>
          <w:rStyle w:val="a8"/>
          <w:rFonts w:hint="eastAsia"/>
        </w:rPr>
        <w:t>5</w:t>
      </w:r>
      <w:r>
        <w:rPr>
          <w:rStyle w:val="a8"/>
        </w:rPr>
        <w:t>]</w:t>
      </w:r>
      <w:r>
        <w:t xml:space="preserve"> </w:t>
      </w:r>
      <w:r>
        <w:rPr>
          <w:rFonts w:hint="eastAsia"/>
        </w:rPr>
        <w:t>张春辉，马耀峰，吴晶，等</w:t>
      </w:r>
      <w:r w:rsidR="00D2141D">
        <w:rPr>
          <w:rFonts w:hint="eastAsia"/>
        </w:rPr>
        <w:t>．</w:t>
      </w:r>
      <w:r>
        <w:rPr>
          <w:rFonts w:hint="eastAsia"/>
        </w:rPr>
        <w:t>供需视角下西部入境旅游流与目的地耦合协调度及其时空分</w:t>
      </w:r>
      <w:proofErr w:type="gramStart"/>
      <w:r>
        <w:rPr>
          <w:rFonts w:hint="eastAsia"/>
        </w:rPr>
        <w:t>异研究</w:t>
      </w:r>
      <w:proofErr w:type="gramEnd"/>
      <w:r>
        <w:rPr>
          <w:rFonts w:hint="eastAsia"/>
        </w:rPr>
        <w:t>[J]</w:t>
      </w:r>
      <w:r>
        <w:rPr>
          <w:rFonts w:hint="eastAsia"/>
        </w:rPr>
        <w:t>．经济地理，</w:t>
      </w:r>
      <w:r>
        <w:rPr>
          <w:rFonts w:hint="eastAsia"/>
        </w:rPr>
        <w:t>2013</w:t>
      </w:r>
      <w:r w:rsidR="00345976">
        <w:rPr>
          <w:rFonts w:hint="eastAsia"/>
        </w:rPr>
        <w:t>，</w:t>
      </w:r>
      <w:r>
        <w:rPr>
          <w:rFonts w:hint="eastAsia"/>
        </w:rPr>
        <w:t>33</w:t>
      </w:r>
      <w:r>
        <w:rPr>
          <w:rFonts w:hint="eastAsia"/>
        </w:rPr>
        <w:t>（</w:t>
      </w:r>
      <w:r>
        <w:rPr>
          <w:rFonts w:hint="eastAsia"/>
        </w:rPr>
        <w:t>10</w:t>
      </w:r>
      <w:r>
        <w:rPr>
          <w:rFonts w:hint="eastAsia"/>
        </w:rPr>
        <w:t>）：</w:t>
      </w:r>
      <w:r>
        <w:rPr>
          <w:rFonts w:hint="eastAsia"/>
        </w:rPr>
        <w:t>175-181</w:t>
      </w:r>
      <w:r>
        <w:rPr>
          <w:rFonts w:hint="eastAsia"/>
        </w:rPr>
        <w:t>．</w:t>
      </w:r>
    </w:p>
  </w:endnote>
  <w:endnote w:id="16">
    <w:p w:rsidR="003A5EFA" w:rsidRPr="007364AB" w:rsidRDefault="003A5EFA" w:rsidP="00D0562D">
      <w:pPr>
        <w:pStyle w:val="a7"/>
        <w:spacing w:line="360" w:lineRule="auto"/>
      </w:pPr>
      <w:r>
        <w:rPr>
          <w:rStyle w:val="a8"/>
        </w:rPr>
        <w:t>[1</w:t>
      </w:r>
      <w:r w:rsidR="005B5DD9">
        <w:rPr>
          <w:rStyle w:val="a8"/>
          <w:rFonts w:hint="eastAsia"/>
        </w:rPr>
        <w:t>6</w:t>
      </w:r>
      <w:r>
        <w:rPr>
          <w:rStyle w:val="a8"/>
        </w:rPr>
        <w:t>]</w:t>
      </w:r>
      <w:r>
        <w:t xml:space="preserve"> </w:t>
      </w:r>
      <w:r>
        <w:rPr>
          <w:rFonts w:hint="eastAsia"/>
        </w:rPr>
        <w:t>李馥利，马耀峰．基于旅游</w:t>
      </w:r>
      <w:proofErr w:type="gramStart"/>
      <w:r>
        <w:rPr>
          <w:rFonts w:hint="eastAsia"/>
        </w:rPr>
        <w:t>流转移</w:t>
      </w:r>
      <w:proofErr w:type="gramEnd"/>
      <w:r>
        <w:rPr>
          <w:rFonts w:hint="eastAsia"/>
        </w:rPr>
        <w:t>的中国西部省区入境旅游时空动态分析</w:t>
      </w:r>
      <w:r>
        <w:rPr>
          <w:rFonts w:hint="eastAsia"/>
        </w:rPr>
        <w:t>[J]</w:t>
      </w:r>
      <w:r w:rsidR="00345976">
        <w:rPr>
          <w:rFonts w:hint="eastAsia"/>
        </w:rPr>
        <w:t>．</w:t>
      </w:r>
      <w:r>
        <w:rPr>
          <w:rFonts w:hint="eastAsia"/>
        </w:rPr>
        <w:t>江西农业学报，</w:t>
      </w:r>
      <w:r>
        <w:rPr>
          <w:rFonts w:hint="eastAsia"/>
        </w:rPr>
        <w:t>2011</w:t>
      </w:r>
      <w:r>
        <w:rPr>
          <w:rFonts w:hint="eastAsia"/>
        </w:rPr>
        <w:t>，</w:t>
      </w:r>
      <w:r>
        <w:rPr>
          <w:rFonts w:hint="eastAsia"/>
        </w:rPr>
        <w:t>23</w:t>
      </w:r>
      <w:r>
        <w:rPr>
          <w:rFonts w:hint="eastAsia"/>
        </w:rPr>
        <w:t>（</w:t>
      </w:r>
      <w:r>
        <w:rPr>
          <w:rFonts w:hint="eastAsia"/>
        </w:rPr>
        <w:t>6</w:t>
      </w:r>
      <w:r>
        <w:rPr>
          <w:rFonts w:hint="eastAsia"/>
        </w:rPr>
        <w:t>）：</w:t>
      </w:r>
      <w:r>
        <w:rPr>
          <w:rFonts w:hint="eastAsia"/>
        </w:rPr>
        <w:t>157-160</w:t>
      </w:r>
      <w:r>
        <w:rPr>
          <w:rFonts w:hint="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85" w:rsidRDefault="00B05085" w:rsidP="00BF4679">
      <w:r>
        <w:separator/>
      </w:r>
    </w:p>
  </w:footnote>
  <w:footnote w:type="continuationSeparator" w:id="0">
    <w:p w:rsidR="00B05085" w:rsidRDefault="00B05085" w:rsidP="00BF4679">
      <w:r>
        <w:continuationSeparator/>
      </w:r>
    </w:p>
  </w:footnote>
  <w:footnote w:id="1">
    <w:p w:rsidR="00D851BC" w:rsidRDefault="00D851BC">
      <w:pPr>
        <w:pStyle w:val="ab"/>
      </w:pPr>
      <w:r>
        <w:rPr>
          <w:rStyle w:val="ac"/>
        </w:rPr>
        <w:t>[1]</w:t>
      </w:r>
      <w:r>
        <w:t xml:space="preserve"> </w:t>
      </w:r>
      <w:r w:rsidRPr="004A07B1">
        <w:rPr>
          <w:rFonts w:hint="eastAsia"/>
        </w:rPr>
        <w:t>王兴斌</w:t>
      </w:r>
      <w:r>
        <w:rPr>
          <w:rFonts w:hint="eastAsia"/>
        </w:rPr>
        <w:t>．中国青年报</w:t>
      </w:r>
      <w:r>
        <w:rPr>
          <w:rFonts w:hint="eastAsia"/>
        </w:rPr>
        <w:t>[N]</w:t>
      </w:r>
      <w:r w:rsidRPr="00EF4701">
        <w:rPr>
          <w:rFonts w:hint="eastAsia"/>
        </w:rPr>
        <w:t xml:space="preserve"> </w:t>
      </w:r>
      <w:r>
        <w:rPr>
          <w:rFonts w:hint="eastAsia"/>
        </w:rPr>
        <w:t>．</w:t>
      </w:r>
      <w:r w:rsidRPr="004A07B1">
        <w:rPr>
          <w:rFonts w:hint="eastAsia"/>
        </w:rPr>
        <w:t>2015</w:t>
      </w:r>
      <w:r>
        <w:rPr>
          <w:rFonts w:hint="eastAsia"/>
        </w:rPr>
        <w:t>-</w:t>
      </w:r>
      <w:r w:rsidRPr="004A07B1">
        <w:rPr>
          <w:rFonts w:hint="eastAsia"/>
        </w:rPr>
        <w:t>02</w:t>
      </w:r>
      <w:r>
        <w:rPr>
          <w:rFonts w:hint="eastAsia"/>
        </w:rPr>
        <w:t>-</w:t>
      </w:r>
      <w:r w:rsidRPr="004A07B1">
        <w:rPr>
          <w:rFonts w:hint="eastAsia"/>
        </w:rPr>
        <w:t>12</w:t>
      </w:r>
      <w:r>
        <w:rPr>
          <w:rFonts w:hint="eastAsia"/>
        </w:rPr>
        <w:t>（</w:t>
      </w:r>
      <w:r>
        <w:rPr>
          <w:rFonts w:hint="eastAsia"/>
        </w:rPr>
        <w:t>11</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07F4"/>
    <w:multiLevelType w:val="multilevel"/>
    <w:tmpl w:val="90D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52A3B"/>
    <w:multiLevelType w:val="hybridMultilevel"/>
    <w:tmpl w:val="F02EC97C"/>
    <w:lvl w:ilvl="0" w:tplc="C5E21AE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283F80"/>
    <w:multiLevelType w:val="hybridMultilevel"/>
    <w:tmpl w:val="A618921C"/>
    <w:lvl w:ilvl="0" w:tplc="AA061F8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343773"/>
    <w:multiLevelType w:val="hybridMultilevel"/>
    <w:tmpl w:val="77F42B4C"/>
    <w:lvl w:ilvl="0" w:tplc="515C9F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3554A8"/>
    <w:multiLevelType w:val="hybridMultilevel"/>
    <w:tmpl w:val="8092D5AC"/>
    <w:lvl w:ilvl="0" w:tplc="FCD87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D9380C"/>
    <w:multiLevelType w:val="hybridMultilevel"/>
    <w:tmpl w:val="445CD440"/>
    <w:lvl w:ilvl="0" w:tplc="878C84E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9303607"/>
    <w:multiLevelType w:val="multilevel"/>
    <w:tmpl w:val="C0AC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A3592"/>
    <w:multiLevelType w:val="hybridMultilevel"/>
    <w:tmpl w:val="1E002F22"/>
    <w:lvl w:ilvl="0" w:tplc="354C0B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A491CB0"/>
    <w:multiLevelType w:val="hybridMultilevel"/>
    <w:tmpl w:val="3C3AF5D6"/>
    <w:lvl w:ilvl="0" w:tplc="D62600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8"/>
  </w:num>
  <w:num w:numId="3">
    <w:abstractNumId w:val="1"/>
  </w:num>
  <w:num w:numId="4">
    <w:abstractNumId w:val="5"/>
  </w:num>
  <w:num w:numId="5">
    <w:abstractNumId w:val="7"/>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7003"/>
    <w:rsid w:val="00001BB4"/>
    <w:rsid w:val="00010402"/>
    <w:rsid w:val="00013E71"/>
    <w:rsid w:val="00014516"/>
    <w:rsid w:val="0001453B"/>
    <w:rsid w:val="00026F7B"/>
    <w:rsid w:val="000322D8"/>
    <w:rsid w:val="000324AC"/>
    <w:rsid w:val="00037538"/>
    <w:rsid w:val="00050B35"/>
    <w:rsid w:val="00064A08"/>
    <w:rsid w:val="000666A0"/>
    <w:rsid w:val="000803BC"/>
    <w:rsid w:val="000851C5"/>
    <w:rsid w:val="000947BB"/>
    <w:rsid w:val="000A4C50"/>
    <w:rsid w:val="000A4EE2"/>
    <w:rsid w:val="000B14BC"/>
    <w:rsid w:val="000E13C5"/>
    <w:rsid w:val="000E15C9"/>
    <w:rsid w:val="000F4306"/>
    <w:rsid w:val="00101328"/>
    <w:rsid w:val="00111E0C"/>
    <w:rsid w:val="00113C3B"/>
    <w:rsid w:val="00113FEE"/>
    <w:rsid w:val="001356C1"/>
    <w:rsid w:val="0015385F"/>
    <w:rsid w:val="00153A73"/>
    <w:rsid w:val="0015531A"/>
    <w:rsid w:val="00155EC3"/>
    <w:rsid w:val="00163B9F"/>
    <w:rsid w:val="00164D7D"/>
    <w:rsid w:val="00182F86"/>
    <w:rsid w:val="001861CD"/>
    <w:rsid w:val="00196480"/>
    <w:rsid w:val="00197F1F"/>
    <w:rsid w:val="001A2E8D"/>
    <w:rsid w:val="001B0C0C"/>
    <w:rsid w:val="001B52FF"/>
    <w:rsid w:val="001C0E57"/>
    <w:rsid w:val="001C1C0C"/>
    <w:rsid w:val="001C5DC1"/>
    <w:rsid w:val="001D76B7"/>
    <w:rsid w:val="001E2FB6"/>
    <w:rsid w:val="001E6751"/>
    <w:rsid w:val="001F37B1"/>
    <w:rsid w:val="001F40D4"/>
    <w:rsid w:val="002029BC"/>
    <w:rsid w:val="002044F7"/>
    <w:rsid w:val="00207001"/>
    <w:rsid w:val="0021363C"/>
    <w:rsid w:val="002252D6"/>
    <w:rsid w:val="002427C2"/>
    <w:rsid w:val="0025187A"/>
    <w:rsid w:val="00262E83"/>
    <w:rsid w:val="002833FE"/>
    <w:rsid w:val="00286B1D"/>
    <w:rsid w:val="002878D3"/>
    <w:rsid w:val="00290EA1"/>
    <w:rsid w:val="00291C58"/>
    <w:rsid w:val="002B231D"/>
    <w:rsid w:val="002C3BF0"/>
    <w:rsid w:val="002C7D10"/>
    <w:rsid w:val="002D39A8"/>
    <w:rsid w:val="002D538D"/>
    <w:rsid w:val="002E4449"/>
    <w:rsid w:val="002E4510"/>
    <w:rsid w:val="002F75EF"/>
    <w:rsid w:val="003238FE"/>
    <w:rsid w:val="003252EE"/>
    <w:rsid w:val="0034435B"/>
    <w:rsid w:val="00345976"/>
    <w:rsid w:val="00360668"/>
    <w:rsid w:val="00365E6A"/>
    <w:rsid w:val="00370054"/>
    <w:rsid w:val="003720DF"/>
    <w:rsid w:val="003732A6"/>
    <w:rsid w:val="00380F2C"/>
    <w:rsid w:val="00385499"/>
    <w:rsid w:val="00391CDF"/>
    <w:rsid w:val="00394A09"/>
    <w:rsid w:val="003A227A"/>
    <w:rsid w:val="003A2531"/>
    <w:rsid w:val="003A399F"/>
    <w:rsid w:val="003A5EFA"/>
    <w:rsid w:val="003B7EF5"/>
    <w:rsid w:val="003C04BE"/>
    <w:rsid w:val="003D1DDB"/>
    <w:rsid w:val="003E32E3"/>
    <w:rsid w:val="003E343C"/>
    <w:rsid w:val="00403FFA"/>
    <w:rsid w:val="0041090E"/>
    <w:rsid w:val="00417FA4"/>
    <w:rsid w:val="00424F02"/>
    <w:rsid w:val="00426034"/>
    <w:rsid w:val="004318BE"/>
    <w:rsid w:val="00436F1C"/>
    <w:rsid w:val="0044624C"/>
    <w:rsid w:val="0045359A"/>
    <w:rsid w:val="00454010"/>
    <w:rsid w:val="00454480"/>
    <w:rsid w:val="00461DB2"/>
    <w:rsid w:val="00464837"/>
    <w:rsid w:val="00465274"/>
    <w:rsid w:val="00472308"/>
    <w:rsid w:val="004735FE"/>
    <w:rsid w:val="00474665"/>
    <w:rsid w:val="00474C1E"/>
    <w:rsid w:val="0048618B"/>
    <w:rsid w:val="00492E39"/>
    <w:rsid w:val="004A07B1"/>
    <w:rsid w:val="004A367B"/>
    <w:rsid w:val="004B0193"/>
    <w:rsid w:val="004B0305"/>
    <w:rsid w:val="004B31B9"/>
    <w:rsid w:val="004C3843"/>
    <w:rsid w:val="004D2671"/>
    <w:rsid w:val="004E16A3"/>
    <w:rsid w:val="004E1975"/>
    <w:rsid w:val="004F58CA"/>
    <w:rsid w:val="004F6A53"/>
    <w:rsid w:val="0050713C"/>
    <w:rsid w:val="00512D9E"/>
    <w:rsid w:val="005240C2"/>
    <w:rsid w:val="005269E0"/>
    <w:rsid w:val="00531013"/>
    <w:rsid w:val="005334A7"/>
    <w:rsid w:val="005354E4"/>
    <w:rsid w:val="00536DEB"/>
    <w:rsid w:val="005416DF"/>
    <w:rsid w:val="005477DC"/>
    <w:rsid w:val="00554245"/>
    <w:rsid w:val="0055744E"/>
    <w:rsid w:val="005639B9"/>
    <w:rsid w:val="0057757C"/>
    <w:rsid w:val="00581375"/>
    <w:rsid w:val="005818D5"/>
    <w:rsid w:val="005831DD"/>
    <w:rsid w:val="0059324E"/>
    <w:rsid w:val="00594F1C"/>
    <w:rsid w:val="005A0D0E"/>
    <w:rsid w:val="005A1A9C"/>
    <w:rsid w:val="005B1C48"/>
    <w:rsid w:val="005B5DD9"/>
    <w:rsid w:val="005B6452"/>
    <w:rsid w:val="005C1F79"/>
    <w:rsid w:val="005C7C66"/>
    <w:rsid w:val="005D7A85"/>
    <w:rsid w:val="005E2886"/>
    <w:rsid w:val="005E2D23"/>
    <w:rsid w:val="005F6BA1"/>
    <w:rsid w:val="0061372F"/>
    <w:rsid w:val="00622B8F"/>
    <w:rsid w:val="0062377A"/>
    <w:rsid w:val="006309A2"/>
    <w:rsid w:val="0063781F"/>
    <w:rsid w:val="00647C31"/>
    <w:rsid w:val="006507AC"/>
    <w:rsid w:val="006716C7"/>
    <w:rsid w:val="00680295"/>
    <w:rsid w:val="00695526"/>
    <w:rsid w:val="006A18F9"/>
    <w:rsid w:val="006B0999"/>
    <w:rsid w:val="006B1B5F"/>
    <w:rsid w:val="006C164B"/>
    <w:rsid w:val="006C6DA1"/>
    <w:rsid w:val="006C6F16"/>
    <w:rsid w:val="006D351D"/>
    <w:rsid w:val="006E3745"/>
    <w:rsid w:val="006E54B3"/>
    <w:rsid w:val="006F3920"/>
    <w:rsid w:val="006F6D59"/>
    <w:rsid w:val="00707218"/>
    <w:rsid w:val="00711911"/>
    <w:rsid w:val="00711D3C"/>
    <w:rsid w:val="00714C9B"/>
    <w:rsid w:val="00720175"/>
    <w:rsid w:val="0072157A"/>
    <w:rsid w:val="00721D8E"/>
    <w:rsid w:val="00730F3D"/>
    <w:rsid w:val="007364AB"/>
    <w:rsid w:val="007504E8"/>
    <w:rsid w:val="00766961"/>
    <w:rsid w:val="00775DDD"/>
    <w:rsid w:val="00776D1E"/>
    <w:rsid w:val="00785DF5"/>
    <w:rsid w:val="007943E9"/>
    <w:rsid w:val="0079686C"/>
    <w:rsid w:val="00797022"/>
    <w:rsid w:val="007A0561"/>
    <w:rsid w:val="007A75C3"/>
    <w:rsid w:val="007B794F"/>
    <w:rsid w:val="007C21EF"/>
    <w:rsid w:val="007C3109"/>
    <w:rsid w:val="007C3574"/>
    <w:rsid w:val="007C68DF"/>
    <w:rsid w:val="007D338B"/>
    <w:rsid w:val="007D5EBA"/>
    <w:rsid w:val="007D7F53"/>
    <w:rsid w:val="007E0054"/>
    <w:rsid w:val="007E4A94"/>
    <w:rsid w:val="007E56E4"/>
    <w:rsid w:val="007E5BE2"/>
    <w:rsid w:val="007F1666"/>
    <w:rsid w:val="007F2703"/>
    <w:rsid w:val="007F40B5"/>
    <w:rsid w:val="00800BD6"/>
    <w:rsid w:val="0081638D"/>
    <w:rsid w:val="008230A8"/>
    <w:rsid w:val="0083388A"/>
    <w:rsid w:val="00837439"/>
    <w:rsid w:val="00843AFB"/>
    <w:rsid w:val="00871477"/>
    <w:rsid w:val="00875F1F"/>
    <w:rsid w:val="00877B35"/>
    <w:rsid w:val="00880774"/>
    <w:rsid w:val="00880CFA"/>
    <w:rsid w:val="00883F1C"/>
    <w:rsid w:val="008C5F0B"/>
    <w:rsid w:val="008E1706"/>
    <w:rsid w:val="008F3D8B"/>
    <w:rsid w:val="008F700C"/>
    <w:rsid w:val="00901776"/>
    <w:rsid w:val="009173EE"/>
    <w:rsid w:val="00924004"/>
    <w:rsid w:val="00924948"/>
    <w:rsid w:val="009270F9"/>
    <w:rsid w:val="0093200B"/>
    <w:rsid w:val="00946641"/>
    <w:rsid w:val="009641C2"/>
    <w:rsid w:val="00966DF3"/>
    <w:rsid w:val="00975D3D"/>
    <w:rsid w:val="00977C20"/>
    <w:rsid w:val="00991AA2"/>
    <w:rsid w:val="00991C30"/>
    <w:rsid w:val="00994FE8"/>
    <w:rsid w:val="009A74B5"/>
    <w:rsid w:val="009B3466"/>
    <w:rsid w:val="009B63AB"/>
    <w:rsid w:val="009C392B"/>
    <w:rsid w:val="009D3DF1"/>
    <w:rsid w:val="009D7AD9"/>
    <w:rsid w:val="009E3FFA"/>
    <w:rsid w:val="009F33D7"/>
    <w:rsid w:val="00A07B6A"/>
    <w:rsid w:val="00A116EA"/>
    <w:rsid w:val="00A133D0"/>
    <w:rsid w:val="00A2501C"/>
    <w:rsid w:val="00A34AC4"/>
    <w:rsid w:val="00A36F9A"/>
    <w:rsid w:val="00A56B8C"/>
    <w:rsid w:val="00A633A4"/>
    <w:rsid w:val="00A65885"/>
    <w:rsid w:val="00A72539"/>
    <w:rsid w:val="00A7463B"/>
    <w:rsid w:val="00A74A38"/>
    <w:rsid w:val="00A85811"/>
    <w:rsid w:val="00A9790A"/>
    <w:rsid w:val="00AA2042"/>
    <w:rsid w:val="00AA2F67"/>
    <w:rsid w:val="00AA3755"/>
    <w:rsid w:val="00AA6678"/>
    <w:rsid w:val="00AB24EE"/>
    <w:rsid w:val="00AC72D2"/>
    <w:rsid w:val="00AD3FA1"/>
    <w:rsid w:val="00AE018E"/>
    <w:rsid w:val="00AE0D95"/>
    <w:rsid w:val="00AE2901"/>
    <w:rsid w:val="00AE2B0E"/>
    <w:rsid w:val="00AF0AC1"/>
    <w:rsid w:val="00B0274F"/>
    <w:rsid w:val="00B05085"/>
    <w:rsid w:val="00B07569"/>
    <w:rsid w:val="00B13C6B"/>
    <w:rsid w:val="00B21ADB"/>
    <w:rsid w:val="00B34920"/>
    <w:rsid w:val="00B35918"/>
    <w:rsid w:val="00B533BC"/>
    <w:rsid w:val="00B56D20"/>
    <w:rsid w:val="00B626A8"/>
    <w:rsid w:val="00B656D7"/>
    <w:rsid w:val="00B84CED"/>
    <w:rsid w:val="00B84E63"/>
    <w:rsid w:val="00B85443"/>
    <w:rsid w:val="00B859CB"/>
    <w:rsid w:val="00B925FD"/>
    <w:rsid w:val="00BB7163"/>
    <w:rsid w:val="00BC68E5"/>
    <w:rsid w:val="00BD15B8"/>
    <w:rsid w:val="00BD4235"/>
    <w:rsid w:val="00BE54B2"/>
    <w:rsid w:val="00BE59C2"/>
    <w:rsid w:val="00BF4679"/>
    <w:rsid w:val="00BF4810"/>
    <w:rsid w:val="00C036AA"/>
    <w:rsid w:val="00C079C9"/>
    <w:rsid w:val="00C07FDF"/>
    <w:rsid w:val="00C11EE5"/>
    <w:rsid w:val="00C16F6E"/>
    <w:rsid w:val="00C23782"/>
    <w:rsid w:val="00C25A20"/>
    <w:rsid w:val="00C363C0"/>
    <w:rsid w:val="00C430A4"/>
    <w:rsid w:val="00C45CB1"/>
    <w:rsid w:val="00C50D7A"/>
    <w:rsid w:val="00C5340F"/>
    <w:rsid w:val="00C5342E"/>
    <w:rsid w:val="00C61D65"/>
    <w:rsid w:val="00C625B1"/>
    <w:rsid w:val="00C72B80"/>
    <w:rsid w:val="00C75F39"/>
    <w:rsid w:val="00C77509"/>
    <w:rsid w:val="00C815C9"/>
    <w:rsid w:val="00C92295"/>
    <w:rsid w:val="00C95667"/>
    <w:rsid w:val="00CA046A"/>
    <w:rsid w:val="00CB0755"/>
    <w:rsid w:val="00CB748F"/>
    <w:rsid w:val="00CC239E"/>
    <w:rsid w:val="00CD7003"/>
    <w:rsid w:val="00CE1814"/>
    <w:rsid w:val="00CE2079"/>
    <w:rsid w:val="00CF6854"/>
    <w:rsid w:val="00D00757"/>
    <w:rsid w:val="00D03461"/>
    <w:rsid w:val="00D0539A"/>
    <w:rsid w:val="00D0562D"/>
    <w:rsid w:val="00D10023"/>
    <w:rsid w:val="00D10474"/>
    <w:rsid w:val="00D1200A"/>
    <w:rsid w:val="00D16B31"/>
    <w:rsid w:val="00D17E48"/>
    <w:rsid w:val="00D20F3A"/>
    <w:rsid w:val="00D2141D"/>
    <w:rsid w:val="00D22001"/>
    <w:rsid w:val="00D27160"/>
    <w:rsid w:val="00D430C8"/>
    <w:rsid w:val="00D463F3"/>
    <w:rsid w:val="00D46F3D"/>
    <w:rsid w:val="00D47B24"/>
    <w:rsid w:val="00D47C73"/>
    <w:rsid w:val="00D47EFD"/>
    <w:rsid w:val="00D50D69"/>
    <w:rsid w:val="00D5738B"/>
    <w:rsid w:val="00D638DD"/>
    <w:rsid w:val="00D678F9"/>
    <w:rsid w:val="00D82609"/>
    <w:rsid w:val="00D851BC"/>
    <w:rsid w:val="00D9046E"/>
    <w:rsid w:val="00D91B44"/>
    <w:rsid w:val="00DA1CF7"/>
    <w:rsid w:val="00DD0B27"/>
    <w:rsid w:val="00DD0CEA"/>
    <w:rsid w:val="00DF15C1"/>
    <w:rsid w:val="00E201B9"/>
    <w:rsid w:val="00E25AD6"/>
    <w:rsid w:val="00E3131D"/>
    <w:rsid w:val="00E365FF"/>
    <w:rsid w:val="00E371DD"/>
    <w:rsid w:val="00E42703"/>
    <w:rsid w:val="00E510B4"/>
    <w:rsid w:val="00E52C8C"/>
    <w:rsid w:val="00E638A6"/>
    <w:rsid w:val="00E67076"/>
    <w:rsid w:val="00E67E4D"/>
    <w:rsid w:val="00E70B82"/>
    <w:rsid w:val="00E809C4"/>
    <w:rsid w:val="00E93AC0"/>
    <w:rsid w:val="00EA0936"/>
    <w:rsid w:val="00EB6F5B"/>
    <w:rsid w:val="00EC3F68"/>
    <w:rsid w:val="00ED1BF7"/>
    <w:rsid w:val="00EF1294"/>
    <w:rsid w:val="00EF4701"/>
    <w:rsid w:val="00F00425"/>
    <w:rsid w:val="00F01191"/>
    <w:rsid w:val="00F015F7"/>
    <w:rsid w:val="00F17616"/>
    <w:rsid w:val="00F27218"/>
    <w:rsid w:val="00F350A5"/>
    <w:rsid w:val="00F35AE6"/>
    <w:rsid w:val="00F4039E"/>
    <w:rsid w:val="00F6012A"/>
    <w:rsid w:val="00F61BB7"/>
    <w:rsid w:val="00F648CC"/>
    <w:rsid w:val="00F72157"/>
    <w:rsid w:val="00F7332F"/>
    <w:rsid w:val="00F73607"/>
    <w:rsid w:val="00F74DB9"/>
    <w:rsid w:val="00F8647F"/>
    <w:rsid w:val="00FA7394"/>
    <w:rsid w:val="00FA7430"/>
    <w:rsid w:val="00FB193A"/>
    <w:rsid w:val="00FC51E8"/>
    <w:rsid w:val="00FD2AD7"/>
    <w:rsid w:val="00FE78A0"/>
    <w:rsid w:val="00FE7A9D"/>
    <w:rsid w:val="00FE7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679"/>
    <w:rPr>
      <w:sz w:val="18"/>
      <w:szCs w:val="18"/>
    </w:rPr>
  </w:style>
  <w:style w:type="paragraph" w:styleId="a4">
    <w:name w:val="footer"/>
    <w:basedOn w:val="a"/>
    <w:link w:val="Char0"/>
    <w:uiPriority w:val="99"/>
    <w:unhideWhenUsed/>
    <w:rsid w:val="00BF4679"/>
    <w:pPr>
      <w:tabs>
        <w:tab w:val="center" w:pos="4153"/>
        <w:tab w:val="right" w:pos="8306"/>
      </w:tabs>
      <w:snapToGrid w:val="0"/>
      <w:jc w:val="left"/>
    </w:pPr>
    <w:rPr>
      <w:sz w:val="18"/>
      <w:szCs w:val="18"/>
    </w:rPr>
  </w:style>
  <w:style w:type="character" w:customStyle="1" w:styleId="Char0">
    <w:name w:val="页脚 Char"/>
    <w:basedOn w:val="a0"/>
    <w:link w:val="a4"/>
    <w:uiPriority w:val="99"/>
    <w:rsid w:val="00BF4679"/>
    <w:rPr>
      <w:sz w:val="18"/>
      <w:szCs w:val="18"/>
    </w:rPr>
  </w:style>
  <w:style w:type="paragraph" w:styleId="a5">
    <w:name w:val="List Paragraph"/>
    <w:basedOn w:val="a"/>
    <w:uiPriority w:val="34"/>
    <w:qFormat/>
    <w:rsid w:val="00BF4679"/>
    <w:pPr>
      <w:ind w:firstLineChars="200" w:firstLine="420"/>
    </w:pPr>
  </w:style>
  <w:style w:type="paragraph" w:styleId="a6">
    <w:name w:val="Normal (Web)"/>
    <w:basedOn w:val="a"/>
    <w:uiPriority w:val="99"/>
    <w:semiHidden/>
    <w:unhideWhenUsed/>
    <w:rsid w:val="00F73607"/>
    <w:pPr>
      <w:widowControl/>
      <w:spacing w:before="100" w:beforeAutospacing="1" w:after="100" w:afterAutospacing="1"/>
      <w:jc w:val="left"/>
    </w:pPr>
    <w:rPr>
      <w:rFonts w:ascii="宋体" w:eastAsia="宋体" w:hAnsi="宋体" w:cs="宋体"/>
      <w:kern w:val="0"/>
      <w:sz w:val="24"/>
      <w:szCs w:val="24"/>
    </w:rPr>
  </w:style>
  <w:style w:type="paragraph" w:styleId="a7">
    <w:name w:val="endnote text"/>
    <w:basedOn w:val="a"/>
    <w:link w:val="Char1"/>
    <w:uiPriority w:val="99"/>
    <w:semiHidden/>
    <w:unhideWhenUsed/>
    <w:rsid w:val="00F73607"/>
    <w:pPr>
      <w:snapToGrid w:val="0"/>
      <w:jc w:val="left"/>
    </w:pPr>
  </w:style>
  <w:style w:type="character" w:customStyle="1" w:styleId="Char1">
    <w:name w:val="尾注文本 Char"/>
    <w:basedOn w:val="a0"/>
    <w:link w:val="a7"/>
    <w:uiPriority w:val="99"/>
    <w:semiHidden/>
    <w:rsid w:val="00F73607"/>
  </w:style>
  <w:style w:type="character" w:styleId="a8">
    <w:name w:val="endnote reference"/>
    <w:basedOn w:val="a0"/>
    <w:uiPriority w:val="99"/>
    <w:semiHidden/>
    <w:unhideWhenUsed/>
    <w:rsid w:val="00F73607"/>
    <w:rPr>
      <w:vertAlign w:val="superscript"/>
    </w:rPr>
  </w:style>
  <w:style w:type="character" w:styleId="a9">
    <w:name w:val="Placeholder Text"/>
    <w:basedOn w:val="a0"/>
    <w:uiPriority w:val="99"/>
    <w:semiHidden/>
    <w:rsid w:val="00F015F7"/>
    <w:rPr>
      <w:color w:val="808080"/>
    </w:rPr>
  </w:style>
  <w:style w:type="paragraph" w:styleId="aa">
    <w:name w:val="Balloon Text"/>
    <w:basedOn w:val="a"/>
    <w:link w:val="Char2"/>
    <w:uiPriority w:val="99"/>
    <w:semiHidden/>
    <w:unhideWhenUsed/>
    <w:rsid w:val="00F015F7"/>
    <w:rPr>
      <w:sz w:val="18"/>
      <w:szCs w:val="18"/>
    </w:rPr>
  </w:style>
  <w:style w:type="character" w:customStyle="1" w:styleId="Char2">
    <w:name w:val="批注框文本 Char"/>
    <w:basedOn w:val="a0"/>
    <w:link w:val="aa"/>
    <w:uiPriority w:val="99"/>
    <w:semiHidden/>
    <w:rsid w:val="00F015F7"/>
    <w:rPr>
      <w:sz w:val="18"/>
      <w:szCs w:val="18"/>
    </w:rPr>
  </w:style>
  <w:style w:type="paragraph" w:styleId="ab">
    <w:name w:val="footnote text"/>
    <w:basedOn w:val="a"/>
    <w:link w:val="Char3"/>
    <w:uiPriority w:val="99"/>
    <w:semiHidden/>
    <w:unhideWhenUsed/>
    <w:rsid w:val="004A07B1"/>
    <w:pPr>
      <w:snapToGrid w:val="0"/>
      <w:jc w:val="left"/>
    </w:pPr>
    <w:rPr>
      <w:sz w:val="18"/>
      <w:szCs w:val="18"/>
    </w:rPr>
  </w:style>
  <w:style w:type="character" w:customStyle="1" w:styleId="Char3">
    <w:name w:val="脚注文本 Char"/>
    <w:basedOn w:val="a0"/>
    <w:link w:val="ab"/>
    <w:uiPriority w:val="99"/>
    <w:semiHidden/>
    <w:rsid w:val="004A07B1"/>
    <w:rPr>
      <w:sz w:val="18"/>
      <w:szCs w:val="18"/>
    </w:rPr>
  </w:style>
  <w:style w:type="character" w:styleId="ac">
    <w:name w:val="footnote reference"/>
    <w:basedOn w:val="a0"/>
    <w:uiPriority w:val="99"/>
    <w:semiHidden/>
    <w:unhideWhenUsed/>
    <w:rsid w:val="004A07B1"/>
    <w:rPr>
      <w:vertAlign w:val="superscript"/>
    </w:rPr>
  </w:style>
  <w:style w:type="table" w:styleId="ad">
    <w:name w:val="Table Grid"/>
    <w:basedOn w:val="a1"/>
    <w:uiPriority w:val="39"/>
    <w:rsid w:val="00E70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9173EE"/>
    <w:rPr>
      <w:color w:val="0000FF" w:themeColor="hyperlink"/>
      <w:u w:val="single"/>
    </w:rPr>
  </w:style>
  <w:style w:type="paragraph" w:styleId="af">
    <w:name w:val="Document Map"/>
    <w:basedOn w:val="a"/>
    <w:link w:val="Char4"/>
    <w:uiPriority w:val="99"/>
    <w:semiHidden/>
    <w:unhideWhenUsed/>
    <w:rsid w:val="00800BD6"/>
    <w:rPr>
      <w:rFonts w:ascii="宋体" w:eastAsia="宋体"/>
      <w:sz w:val="18"/>
      <w:szCs w:val="18"/>
    </w:rPr>
  </w:style>
  <w:style w:type="character" w:customStyle="1" w:styleId="Char4">
    <w:name w:val="文档结构图 Char"/>
    <w:basedOn w:val="a0"/>
    <w:link w:val="af"/>
    <w:uiPriority w:val="99"/>
    <w:semiHidden/>
    <w:rsid w:val="00800BD6"/>
    <w:rPr>
      <w:rFonts w:ascii="宋体" w:eastAsia="宋体"/>
      <w:sz w:val="18"/>
      <w:szCs w:val="18"/>
    </w:rPr>
  </w:style>
  <w:style w:type="character" w:customStyle="1" w:styleId="apple-converted-space">
    <w:name w:val="apple-converted-space"/>
    <w:basedOn w:val="a0"/>
    <w:rsid w:val="00D03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6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679"/>
    <w:rPr>
      <w:sz w:val="18"/>
      <w:szCs w:val="18"/>
    </w:rPr>
  </w:style>
  <w:style w:type="paragraph" w:styleId="a4">
    <w:name w:val="footer"/>
    <w:basedOn w:val="a"/>
    <w:link w:val="Char0"/>
    <w:uiPriority w:val="99"/>
    <w:unhideWhenUsed/>
    <w:rsid w:val="00BF4679"/>
    <w:pPr>
      <w:tabs>
        <w:tab w:val="center" w:pos="4153"/>
        <w:tab w:val="right" w:pos="8306"/>
      </w:tabs>
      <w:snapToGrid w:val="0"/>
      <w:jc w:val="left"/>
    </w:pPr>
    <w:rPr>
      <w:sz w:val="18"/>
      <w:szCs w:val="18"/>
    </w:rPr>
  </w:style>
  <w:style w:type="character" w:customStyle="1" w:styleId="Char0">
    <w:name w:val="页脚 Char"/>
    <w:basedOn w:val="a0"/>
    <w:link w:val="a4"/>
    <w:uiPriority w:val="99"/>
    <w:rsid w:val="00BF4679"/>
    <w:rPr>
      <w:sz w:val="18"/>
      <w:szCs w:val="18"/>
    </w:rPr>
  </w:style>
  <w:style w:type="paragraph" w:styleId="a5">
    <w:name w:val="List Paragraph"/>
    <w:basedOn w:val="a"/>
    <w:uiPriority w:val="34"/>
    <w:qFormat/>
    <w:rsid w:val="00BF4679"/>
    <w:pPr>
      <w:ind w:firstLineChars="200" w:firstLine="420"/>
    </w:pPr>
  </w:style>
  <w:style w:type="paragraph" w:styleId="a6">
    <w:name w:val="Normal (Web)"/>
    <w:basedOn w:val="a"/>
    <w:uiPriority w:val="99"/>
    <w:semiHidden/>
    <w:unhideWhenUsed/>
    <w:rsid w:val="00F73607"/>
    <w:pPr>
      <w:widowControl/>
      <w:spacing w:before="100" w:beforeAutospacing="1" w:after="100" w:afterAutospacing="1"/>
      <w:jc w:val="left"/>
    </w:pPr>
    <w:rPr>
      <w:rFonts w:ascii="宋体" w:eastAsia="宋体" w:hAnsi="宋体" w:cs="宋体"/>
      <w:kern w:val="0"/>
      <w:sz w:val="24"/>
      <w:szCs w:val="24"/>
    </w:rPr>
  </w:style>
  <w:style w:type="paragraph" w:styleId="a7">
    <w:name w:val="endnote text"/>
    <w:basedOn w:val="a"/>
    <w:link w:val="Char1"/>
    <w:uiPriority w:val="99"/>
    <w:semiHidden/>
    <w:unhideWhenUsed/>
    <w:rsid w:val="00F73607"/>
    <w:pPr>
      <w:snapToGrid w:val="0"/>
      <w:jc w:val="left"/>
    </w:pPr>
  </w:style>
  <w:style w:type="character" w:customStyle="1" w:styleId="Char1">
    <w:name w:val="尾注文本 Char"/>
    <w:basedOn w:val="a0"/>
    <w:link w:val="a7"/>
    <w:uiPriority w:val="99"/>
    <w:semiHidden/>
    <w:rsid w:val="00F73607"/>
  </w:style>
  <w:style w:type="character" w:styleId="a8">
    <w:name w:val="endnote reference"/>
    <w:basedOn w:val="a0"/>
    <w:uiPriority w:val="99"/>
    <w:semiHidden/>
    <w:unhideWhenUsed/>
    <w:rsid w:val="00F73607"/>
    <w:rPr>
      <w:vertAlign w:val="superscript"/>
    </w:rPr>
  </w:style>
  <w:style w:type="character" w:styleId="a9">
    <w:name w:val="Placeholder Text"/>
    <w:basedOn w:val="a0"/>
    <w:uiPriority w:val="99"/>
    <w:semiHidden/>
    <w:rsid w:val="00F015F7"/>
    <w:rPr>
      <w:color w:val="808080"/>
    </w:rPr>
  </w:style>
  <w:style w:type="paragraph" w:styleId="aa">
    <w:name w:val="Balloon Text"/>
    <w:basedOn w:val="a"/>
    <w:link w:val="Char2"/>
    <w:uiPriority w:val="99"/>
    <w:semiHidden/>
    <w:unhideWhenUsed/>
    <w:rsid w:val="00F015F7"/>
    <w:rPr>
      <w:sz w:val="18"/>
      <w:szCs w:val="18"/>
    </w:rPr>
  </w:style>
  <w:style w:type="character" w:customStyle="1" w:styleId="Char2">
    <w:name w:val="批注框文本 Char"/>
    <w:basedOn w:val="a0"/>
    <w:link w:val="aa"/>
    <w:uiPriority w:val="99"/>
    <w:semiHidden/>
    <w:rsid w:val="00F015F7"/>
    <w:rPr>
      <w:sz w:val="18"/>
      <w:szCs w:val="18"/>
    </w:rPr>
  </w:style>
  <w:style w:type="paragraph" w:styleId="ab">
    <w:name w:val="footnote text"/>
    <w:basedOn w:val="a"/>
    <w:link w:val="Char3"/>
    <w:uiPriority w:val="99"/>
    <w:semiHidden/>
    <w:unhideWhenUsed/>
    <w:rsid w:val="004A07B1"/>
    <w:pPr>
      <w:snapToGrid w:val="0"/>
      <w:jc w:val="left"/>
    </w:pPr>
    <w:rPr>
      <w:sz w:val="18"/>
      <w:szCs w:val="18"/>
    </w:rPr>
  </w:style>
  <w:style w:type="character" w:customStyle="1" w:styleId="Char3">
    <w:name w:val="脚注文本 Char"/>
    <w:basedOn w:val="a0"/>
    <w:link w:val="ab"/>
    <w:uiPriority w:val="99"/>
    <w:semiHidden/>
    <w:rsid w:val="004A07B1"/>
    <w:rPr>
      <w:sz w:val="18"/>
      <w:szCs w:val="18"/>
    </w:rPr>
  </w:style>
  <w:style w:type="character" w:styleId="ac">
    <w:name w:val="footnote reference"/>
    <w:basedOn w:val="a0"/>
    <w:uiPriority w:val="99"/>
    <w:semiHidden/>
    <w:unhideWhenUsed/>
    <w:rsid w:val="004A07B1"/>
    <w:rPr>
      <w:vertAlign w:val="superscript"/>
    </w:rPr>
  </w:style>
  <w:style w:type="table" w:styleId="ad">
    <w:name w:val="Table Grid"/>
    <w:basedOn w:val="a1"/>
    <w:uiPriority w:val="39"/>
    <w:rsid w:val="00E70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1">
      <w:bodyDiv w:val="1"/>
      <w:marLeft w:val="0"/>
      <w:marRight w:val="0"/>
      <w:marTop w:val="0"/>
      <w:marBottom w:val="0"/>
      <w:divBdr>
        <w:top w:val="none" w:sz="0" w:space="0" w:color="auto"/>
        <w:left w:val="none" w:sz="0" w:space="0" w:color="auto"/>
        <w:bottom w:val="none" w:sz="0" w:space="0" w:color="auto"/>
        <w:right w:val="none" w:sz="0" w:space="0" w:color="auto"/>
      </w:divBdr>
      <w:divsChild>
        <w:div w:id="1727490069">
          <w:marLeft w:val="0"/>
          <w:marRight w:val="0"/>
          <w:marTop w:val="0"/>
          <w:marBottom w:val="0"/>
          <w:divBdr>
            <w:top w:val="single" w:sz="2" w:space="0" w:color="2E2E2E"/>
            <w:left w:val="single" w:sz="2" w:space="0" w:color="2E2E2E"/>
            <w:bottom w:val="single" w:sz="2" w:space="0" w:color="2E2E2E"/>
            <w:right w:val="single" w:sz="2" w:space="0" w:color="2E2E2E"/>
          </w:divBdr>
          <w:divsChild>
            <w:div w:id="1315990658">
              <w:marLeft w:val="0"/>
              <w:marRight w:val="0"/>
              <w:marTop w:val="0"/>
              <w:marBottom w:val="0"/>
              <w:divBdr>
                <w:top w:val="single" w:sz="6" w:space="0" w:color="C9C9C9"/>
                <w:left w:val="none" w:sz="0" w:space="0" w:color="auto"/>
                <w:bottom w:val="none" w:sz="0" w:space="0" w:color="auto"/>
                <w:right w:val="none" w:sz="0" w:space="0" w:color="auto"/>
              </w:divBdr>
              <w:divsChild>
                <w:div w:id="1468163007">
                  <w:marLeft w:val="0"/>
                  <w:marRight w:val="0"/>
                  <w:marTop w:val="0"/>
                  <w:marBottom w:val="0"/>
                  <w:divBdr>
                    <w:top w:val="none" w:sz="0" w:space="0" w:color="auto"/>
                    <w:left w:val="none" w:sz="0" w:space="0" w:color="auto"/>
                    <w:bottom w:val="none" w:sz="0" w:space="0" w:color="auto"/>
                    <w:right w:val="none" w:sz="0" w:space="0" w:color="auto"/>
                  </w:divBdr>
                  <w:divsChild>
                    <w:div w:id="129708661">
                      <w:marLeft w:val="0"/>
                      <w:marRight w:val="0"/>
                      <w:marTop w:val="0"/>
                      <w:marBottom w:val="0"/>
                      <w:divBdr>
                        <w:top w:val="none" w:sz="0" w:space="0" w:color="auto"/>
                        <w:left w:val="none" w:sz="0" w:space="0" w:color="auto"/>
                        <w:bottom w:val="none" w:sz="0" w:space="0" w:color="auto"/>
                        <w:right w:val="none" w:sz="0" w:space="0" w:color="auto"/>
                      </w:divBdr>
                      <w:divsChild>
                        <w:div w:id="9086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1438">
      <w:bodyDiv w:val="1"/>
      <w:marLeft w:val="0"/>
      <w:marRight w:val="0"/>
      <w:marTop w:val="0"/>
      <w:marBottom w:val="0"/>
      <w:divBdr>
        <w:top w:val="none" w:sz="0" w:space="0" w:color="auto"/>
        <w:left w:val="none" w:sz="0" w:space="0" w:color="auto"/>
        <w:bottom w:val="none" w:sz="0" w:space="0" w:color="auto"/>
        <w:right w:val="none" w:sz="0" w:space="0" w:color="auto"/>
      </w:divBdr>
    </w:div>
    <w:div w:id="429089200">
      <w:bodyDiv w:val="1"/>
      <w:marLeft w:val="0"/>
      <w:marRight w:val="0"/>
      <w:marTop w:val="0"/>
      <w:marBottom w:val="0"/>
      <w:divBdr>
        <w:top w:val="none" w:sz="0" w:space="0" w:color="auto"/>
        <w:left w:val="none" w:sz="0" w:space="0" w:color="auto"/>
        <w:bottom w:val="none" w:sz="0" w:space="0" w:color="auto"/>
        <w:right w:val="none" w:sz="0" w:space="0" w:color="auto"/>
      </w:divBdr>
    </w:div>
    <w:div w:id="451560541">
      <w:bodyDiv w:val="1"/>
      <w:marLeft w:val="0"/>
      <w:marRight w:val="0"/>
      <w:marTop w:val="0"/>
      <w:marBottom w:val="0"/>
      <w:divBdr>
        <w:top w:val="none" w:sz="0" w:space="0" w:color="auto"/>
        <w:left w:val="none" w:sz="0" w:space="0" w:color="auto"/>
        <w:bottom w:val="none" w:sz="0" w:space="0" w:color="auto"/>
        <w:right w:val="none" w:sz="0" w:space="0" w:color="auto"/>
      </w:divBdr>
      <w:divsChild>
        <w:div w:id="1382752936">
          <w:marLeft w:val="0"/>
          <w:marRight w:val="0"/>
          <w:marTop w:val="0"/>
          <w:marBottom w:val="0"/>
          <w:divBdr>
            <w:top w:val="none" w:sz="0" w:space="0" w:color="auto"/>
            <w:left w:val="none" w:sz="0" w:space="0" w:color="auto"/>
            <w:bottom w:val="none" w:sz="0" w:space="0" w:color="auto"/>
            <w:right w:val="none" w:sz="0" w:space="0" w:color="auto"/>
          </w:divBdr>
          <w:divsChild>
            <w:div w:id="1634168068">
              <w:marLeft w:val="0"/>
              <w:marRight w:val="0"/>
              <w:marTop w:val="0"/>
              <w:marBottom w:val="0"/>
              <w:divBdr>
                <w:top w:val="none" w:sz="0" w:space="0" w:color="auto"/>
                <w:left w:val="none" w:sz="0" w:space="0" w:color="auto"/>
                <w:bottom w:val="dashed" w:sz="6" w:space="8" w:color="CCCCCC"/>
                <w:right w:val="none" w:sz="0" w:space="0" w:color="auto"/>
              </w:divBdr>
              <w:divsChild>
                <w:div w:id="1197886575">
                  <w:marLeft w:val="0"/>
                  <w:marRight w:val="0"/>
                  <w:marTop w:val="0"/>
                  <w:marBottom w:val="0"/>
                  <w:divBdr>
                    <w:top w:val="none" w:sz="0" w:space="0" w:color="auto"/>
                    <w:left w:val="none" w:sz="0" w:space="0" w:color="auto"/>
                    <w:bottom w:val="none" w:sz="0" w:space="0" w:color="auto"/>
                    <w:right w:val="none" w:sz="0" w:space="0" w:color="auto"/>
                  </w:divBdr>
                  <w:divsChild>
                    <w:div w:id="1304770756">
                      <w:marLeft w:val="0"/>
                      <w:marRight w:val="0"/>
                      <w:marTop w:val="0"/>
                      <w:marBottom w:val="0"/>
                      <w:divBdr>
                        <w:top w:val="none" w:sz="0" w:space="0" w:color="auto"/>
                        <w:left w:val="none" w:sz="0" w:space="0" w:color="auto"/>
                        <w:bottom w:val="none" w:sz="0" w:space="0" w:color="auto"/>
                        <w:right w:val="none" w:sz="0" w:space="0" w:color="auto"/>
                      </w:divBdr>
                      <w:divsChild>
                        <w:div w:id="1154420455">
                          <w:marLeft w:val="0"/>
                          <w:marRight w:val="0"/>
                          <w:marTop w:val="0"/>
                          <w:marBottom w:val="0"/>
                          <w:divBdr>
                            <w:top w:val="none" w:sz="0" w:space="0" w:color="auto"/>
                            <w:left w:val="none" w:sz="0" w:space="0" w:color="auto"/>
                            <w:bottom w:val="none" w:sz="0" w:space="0" w:color="auto"/>
                            <w:right w:val="none" w:sz="0" w:space="0" w:color="auto"/>
                          </w:divBdr>
                          <w:divsChild>
                            <w:div w:id="20999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266362">
      <w:bodyDiv w:val="1"/>
      <w:marLeft w:val="0"/>
      <w:marRight w:val="0"/>
      <w:marTop w:val="0"/>
      <w:marBottom w:val="0"/>
      <w:divBdr>
        <w:top w:val="none" w:sz="0" w:space="0" w:color="auto"/>
        <w:left w:val="none" w:sz="0" w:space="0" w:color="auto"/>
        <w:bottom w:val="none" w:sz="0" w:space="0" w:color="auto"/>
        <w:right w:val="none" w:sz="0" w:space="0" w:color="auto"/>
      </w:divBdr>
      <w:divsChild>
        <w:div w:id="327364849">
          <w:marLeft w:val="0"/>
          <w:marRight w:val="0"/>
          <w:marTop w:val="0"/>
          <w:marBottom w:val="0"/>
          <w:divBdr>
            <w:top w:val="none" w:sz="0" w:space="0" w:color="auto"/>
            <w:left w:val="none" w:sz="0" w:space="0" w:color="auto"/>
            <w:bottom w:val="none" w:sz="0" w:space="0" w:color="auto"/>
            <w:right w:val="none" w:sz="0" w:space="0" w:color="auto"/>
          </w:divBdr>
          <w:divsChild>
            <w:div w:id="194390973">
              <w:marLeft w:val="0"/>
              <w:marRight w:val="0"/>
              <w:marTop w:val="0"/>
              <w:marBottom w:val="0"/>
              <w:divBdr>
                <w:top w:val="none" w:sz="0" w:space="0" w:color="auto"/>
                <w:left w:val="none" w:sz="0" w:space="0" w:color="auto"/>
                <w:bottom w:val="dashed" w:sz="6" w:space="8" w:color="CCCCCC"/>
                <w:right w:val="none" w:sz="0" w:space="0" w:color="auto"/>
              </w:divBdr>
              <w:divsChild>
                <w:div w:id="869145712">
                  <w:marLeft w:val="0"/>
                  <w:marRight w:val="0"/>
                  <w:marTop w:val="0"/>
                  <w:marBottom w:val="0"/>
                  <w:divBdr>
                    <w:top w:val="none" w:sz="0" w:space="0" w:color="auto"/>
                    <w:left w:val="none" w:sz="0" w:space="0" w:color="auto"/>
                    <w:bottom w:val="none" w:sz="0" w:space="0" w:color="auto"/>
                    <w:right w:val="none" w:sz="0" w:space="0" w:color="auto"/>
                  </w:divBdr>
                  <w:divsChild>
                    <w:div w:id="54665927">
                      <w:marLeft w:val="0"/>
                      <w:marRight w:val="0"/>
                      <w:marTop w:val="0"/>
                      <w:marBottom w:val="0"/>
                      <w:divBdr>
                        <w:top w:val="none" w:sz="0" w:space="0" w:color="auto"/>
                        <w:left w:val="none" w:sz="0" w:space="0" w:color="auto"/>
                        <w:bottom w:val="none" w:sz="0" w:space="0" w:color="auto"/>
                        <w:right w:val="none" w:sz="0" w:space="0" w:color="auto"/>
                      </w:divBdr>
                      <w:divsChild>
                        <w:div w:id="1361976789">
                          <w:marLeft w:val="0"/>
                          <w:marRight w:val="0"/>
                          <w:marTop w:val="0"/>
                          <w:marBottom w:val="0"/>
                          <w:divBdr>
                            <w:top w:val="none" w:sz="0" w:space="0" w:color="auto"/>
                            <w:left w:val="none" w:sz="0" w:space="0" w:color="auto"/>
                            <w:bottom w:val="none" w:sz="0" w:space="0" w:color="auto"/>
                            <w:right w:val="none" w:sz="0" w:space="0" w:color="auto"/>
                          </w:divBdr>
                          <w:divsChild>
                            <w:div w:id="18843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73459">
      <w:bodyDiv w:val="1"/>
      <w:marLeft w:val="0"/>
      <w:marRight w:val="0"/>
      <w:marTop w:val="0"/>
      <w:marBottom w:val="0"/>
      <w:divBdr>
        <w:top w:val="none" w:sz="0" w:space="0" w:color="auto"/>
        <w:left w:val="none" w:sz="0" w:space="0" w:color="auto"/>
        <w:bottom w:val="none" w:sz="0" w:space="0" w:color="auto"/>
        <w:right w:val="none" w:sz="0" w:space="0" w:color="auto"/>
      </w:divBdr>
      <w:divsChild>
        <w:div w:id="2095664351">
          <w:marLeft w:val="0"/>
          <w:marRight w:val="0"/>
          <w:marTop w:val="0"/>
          <w:marBottom w:val="0"/>
          <w:divBdr>
            <w:top w:val="single" w:sz="2" w:space="0" w:color="2E2E2E"/>
            <w:left w:val="single" w:sz="2" w:space="0" w:color="2E2E2E"/>
            <w:bottom w:val="single" w:sz="2" w:space="0" w:color="2E2E2E"/>
            <w:right w:val="single" w:sz="2" w:space="0" w:color="2E2E2E"/>
          </w:divBdr>
          <w:divsChild>
            <w:div w:id="605114941">
              <w:marLeft w:val="0"/>
              <w:marRight w:val="0"/>
              <w:marTop w:val="0"/>
              <w:marBottom w:val="0"/>
              <w:divBdr>
                <w:top w:val="single" w:sz="6" w:space="0" w:color="C9C9C9"/>
                <w:left w:val="none" w:sz="0" w:space="0" w:color="auto"/>
                <w:bottom w:val="none" w:sz="0" w:space="0" w:color="auto"/>
                <w:right w:val="none" w:sz="0" w:space="0" w:color="auto"/>
              </w:divBdr>
              <w:divsChild>
                <w:div w:id="1317733180">
                  <w:marLeft w:val="0"/>
                  <w:marRight w:val="0"/>
                  <w:marTop w:val="0"/>
                  <w:marBottom w:val="0"/>
                  <w:divBdr>
                    <w:top w:val="none" w:sz="0" w:space="0" w:color="auto"/>
                    <w:left w:val="none" w:sz="0" w:space="0" w:color="auto"/>
                    <w:bottom w:val="none" w:sz="0" w:space="0" w:color="auto"/>
                    <w:right w:val="none" w:sz="0" w:space="0" w:color="auto"/>
                  </w:divBdr>
                  <w:divsChild>
                    <w:div w:id="1537156998">
                      <w:marLeft w:val="0"/>
                      <w:marRight w:val="0"/>
                      <w:marTop w:val="0"/>
                      <w:marBottom w:val="0"/>
                      <w:divBdr>
                        <w:top w:val="none" w:sz="0" w:space="0" w:color="auto"/>
                        <w:left w:val="none" w:sz="0" w:space="0" w:color="auto"/>
                        <w:bottom w:val="none" w:sz="0" w:space="0" w:color="auto"/>
                        <w:right w:val="none" w:sz="0" w:space="0" w:color="auto"/>
                      </w:divBdr>
                      <w:divsChild>
                        <w:div w:id="20275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6614">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1">
          <w:marLeft w:val="0"/>
          <w:marRight w:val="0"/>
          <w:marTop w:val="0"/>
          <w:marBottom w:val="0"/>
          <w:divBdr>
            <w:top w:val="single" w:sz="2" w:space="0" w:color="2E2E2E"/>
            <w:left w:val="single" w:sz="2" w:space="0" w:color="2E2E2E"/>
            <w:bottom w:val="single" w:sz="2" w:space="0" w:color="2E2E2E"/>
            <w:right w:val="single" w:sz="2" w:space="0" w:color="2E2E2E"/>
          </w:divBdr>
          <w:divsChild>
            <w:div w:id="1150441877">
              <w:marLeft w:val="0"/>
              <w:marRight w:val="0"/>
              <w:marTop w:val="0"/>
              <w:marBottom w:val="0"/>
              <w:divBdr>
                <w:top w:val="single" w:sz="6" w:space="0" w:color="C9C9C9"/>
                <w:left w:val="none" w:sz="0" w:space="0" w:color="auto"/>
                <w:bottom w:val="none" w:sz="0" w:space="0" w:color="auto"/>
                <w:right w:val="none" w:sz="0" w:space="0" w:color="auto"/>
              </w:divBdr>
              <w:divsChild>
                <w:div w:id="783307870">
                  <w:marLeft w:val="0"/>
                  <w:marRight w:val="0"/>
                  <w:marTop w:val="0"/>
                  <w:marBottom w:val="0"/>
                  <w:divBdr>
                    <w:top w:val="none" w:sz="0" w:space="0" w:color="auto"/>
                    <w:left w:val="none" w:sz="0" w:space="0" w:color="auto"/>
                    <w:bottom w:val="none" w:sz="0" w:space="0" w:color="auto"/>
                    <w:right w:val="none" w:sz="0" w:space="0" w:color="auto"/>
                  </w:divBdr>
                  <w:divsChild>
                    <w:div w:id="838958844">
                      <w:marLeft w:val="0"/>
                      <w:marRight w:val="0"/>
                      <w:marTop w:val="0"/>
                      <w:marBottom w:val="0"/>
                      <w:divBdr>
                        <w:top w:val="none" w:sz="0" w:space="0" w:color="auto"/>
                        <w:left w:val="none" w:sz="0" w:space="0" w:color="auto"/>
                        <w:bottom w:val="none" w:sz="0" w:space="0" w:color="auto"/>
                        <w:right w:val="none" w:sz="0" w:space="0" w:color="auto"/>
                      </w:divBdr>
                      <w:divsChild>
                        <w:div w:id="8267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32437">
      <w:bodyDiv w:val="1"/>
      <w:marLeft w:val="0"/>
      <w:marRight w:val="0"/>
      <w:marTop w:val="0"/>
      <w:marBottom w:val="0"/>
      <w:divBdr>
        <w:top w:val="none" w:sz="0" w:space="0" w:color="auto"/>
        <w:left w:val="none" w:sz="0" w:space="0" w:color="auto"/>
        <w:bottom w:val="none" w:sz="0" w:space="0" w:color="auto"/>
        <w:right w:val="none" w:sz="0" w:space="0" w:color="auto"/>
      </w:divBdr>
    </w:div>
    <w:div w:id="1113012024">
      <w:bodyDiv w:val="1"/>
      <w:marLeft w:val="0"/>
      <w:marRight w:val="0"/>
      <w:marTop w:val="0"/>
      <w:marBottom w:val="0"/>
      <w:divBdr>
        <w:top w:val="none" w:sz="0" w:space="0" w:color="auto"/>
        <w:left w:val="none" w:sz="0" w:space="0" w:color="auto"/>
        <w:bottom w:val="none" w:sz="0" w:space="0" w:color="auto"/>
        <w:right w:val="none" w:sz="0" w:space="0" w:color="auto"/>
      </w:divBdr>
    </w:div>
    <w:div w:id="1113399890">
      <w:bodyDiv w:val="1"/>
      <w:marLeft w:val="0"/>
      <w:marRight w:val="0"/>
      <w:marTop w:val="0"/>
      <w:marBottom w:val="0"/>
      <w:divBdr>
        <w:top w:val="none" w:sz="0" w:space="0" w:color="auto"/>
        <w:left w:val="none" w:sz="0" w:space="0" w:color="auto"/>
        <w:bottom w:val="none" w:sz="0" w:space="0" w:color="auto"/>
        <w:right w:val="none" w:sz="0" w:space="0" w:color="auto"/>
      </w:divBdr>
      <w:divsChild>
        <w:div w:id="364446298">
          <w:marLeft w:val="0"/>
          <w:marRight w:val="0"/>
          <w:marTop w:val="0"/>
          <w:marBottom w:val="0"/>
          <w:divBdr>
            <w:top w:val="single" w:sz="2" w:space="0" w:color="2E2E2E"/>
            <w:left w:val="single" w:sz="2" w:space="0" w:color="2E2E2E"/>
            <w:bottom w:val="single" w:sz="2" w:space="0" w:color="2E2E2E"/>
            <w:right w:val="single" w:sz="2" w:space="0" w:color="2E2E2E"/>
          </w:divBdr>
          <w:divsChild>
            <w:div w:id="797720681">
              <w:marLeft w:val="0"/>
              <w:marRight w:val="0"/>
              <w:marTop w:val="0"/>
              <w:marBottom w:val="0"/>
              <w:divBdr>
                <w:top w:val="single" w:sz="6" w:space="0" w:color="C9C9C9"/>
                <w:left w:val="none" w:sz="0" w:space="0" w:color="auto"/>
                <w:bottom w:val="none" w:sz="0" w:space="0" w:color="auto"/>
                <w:right w:val="none" w:sz="0" w:space="0" w:color="auto"/>
              </w:divBdr>
              <w:divsChild>
                <w:div w:id="1710256007">
                  <w:marLeft w:val="0"/>
                  <w:marRight w:val="0"/>
                  <w:marTop w:val="0"/>
                  <w:marBottom w:val="0"/>
                  <w:divBdr>
                    <w:top w:val="none" w:sz="0" w:space="0" w:color="auto"/>
                    <w:left w:val="none" w:sz="0" w:space="0" w:color="auto"/>
                    <w:bottom w:val="none" w:sz="0" w:space="0" w:color="auto"/>
                    <w:right w:val="none" w:sz="0" w:space="0" w:color="auto"/>
                  </w:divBdr>
                  <w:divsChild>
                    <w:div w:id="1392656224">
                      <w:marLeft w:val="0"/>
                      <w:marRight w:val="0"/>
                      <w:marTop w:val="0"/>
                      <w:marBottom w:val="0"/>
                      <w:divBdr>
                        <w:top w:val="none" w:sz="0" w:space="0" w:color="auto"/>
                        <w:left w:val="none" w:sz="0" w:space="0" w:color="auto"/>
                        <w:bottom w:val="none" w:sz="0" w:space="0" w:color="auto"/>
                        <w:right w:val="none" w:sz="0" w:space="0" w:color="auto"/>
                      </w:divBdr>
                      <w:divsChild>
                        <w:div w:id="649022832">
                          <w:marLeft w:val="0"/>
                          <w:marRight w:val="0"/>
                          <w:marTop w:val="225"/>
                          <w:marBottom w:val="180"/>
                          <w:divBdr>
                            <w:top w:val="single" w:sz="6" w:space="0" w:color="D7D7D7"/>
                            <w:left w:val="single" w:sz="2" w:space="0" w:color="D7D7D7"/>
                            <w:bottom w:val="single" w:sz="6" w:space="0" w:color="D7D7D7"/>
                            <w:right w:val="single" w:sz="2" w:space="0" w:color="D7D7D7"/>
                          </w:divBdr>
                          <w:divsChild>
                            <w:div w:id="2087997280">
                              <w:marLeft w:val="0"/>
                              <w:marRight w:val="0"/>
                              <w:marTop w:val="0"/>
                              <w:marBottom w:val="0"/>
                              <w:divBdr>
                                <w:top w:val="none" w:sz="0" w:space="0" w:color="auto"/>
                                <w:left w:val="none" w:sz="0" w:space="0" w:color="auto"/>
                                <w:bottom w:val="none" w:sz="0" w:space="0" w:color="auto"/>
                                <w:right w:val="none" w:sz="0" w:space="0" w:color="auto"/>
                              </w:divBdr>
                              <w:divsChild>
                                <w:div w:id="14153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547556">
      <w:bodyDiv w:val="1"/>
      <w:marLeft w:val="0"/>
      <w:marRight w:val="0"/>
      <w:marTop w:val="0"/>
      <w:marBottom w:val="0"/>
      <w:divBdr>
        <w:top w:val="none" w:sz="0" w:space="0" w:color="auto"/>
        <w:left w:val="none" w:sz="0" w:space="0" w:color="auto"/>
        <w:bottom w:val="none" w:sz="0" w:space="0" w:color="auto"/>
        <w:right w:val="none" w:sz="0" w:space="0" w:color="auto"/>
      </w:divBdr>
    </w:div>
    <w:div w:id="1223834698">
      <w:bodyDiv w:val="1"/>
      <w:marLeft w:val="0"/>
      <w:marRight w:val="0"/>
      <w:marTop w:val="0"/>
      <w:marBottom w:val="0"/>
      <w:divBdr>
        <w:top w:val="none" w:sz="0" w:space="0" w:color="auto"/>
        <w:left w:val="none" w:sz="0" w:space="0" w:color="auto"/>
        <w:bottom w:val="none" w:sz="0" w:space="0" w:color="auto"/>
        <w:right w:val="none" w:sz="0" w:space="0" w:color="auto"/>
      </w:divBdr>
      <w:divsChild>
        <w:div w:id="1630236285">
          <w:marLeft w:val="0"/>
          <w:marRight w:val="0"/>
          <w:marTop w:val="0"/>
          <w:marBottom w:val="0"/>
          <w:divBdr>
            <w:top w:val="single" w:sz="2" w:space="0" w:color="2E2E2E"/>
            <w:left w:val="single" w:sz="2" w:space="0" w:color="2E2E2E"/>
            <w:bottom w:val="single" w:sz="2" w:space="0" w:color="2E2E2E"/>
            <w:right w:val="single" w:sz="2" w:space="0" w:color="2E2E2E"/>
          </w:divBdr>
          <w:divsChild>
            <w:div w:id="129832363">
              <w:marLeft w:val="0"/>
              <w:marRight w:val="0"/>
              <w:marTop w:val="0"/>
              <w:marBottom w:val="0"/>
              <w:divBdr>
                <w:top w:val="single" w:sz="6" w:space="0" w:color="C9C9C9"/>
                <w:left w:val="none" w:sz="0" w:space="0" w:color="auto"/>
                <w:bottom w:val="none" w:sz="0" w:space="0" w:color="auto"/>
                <w:right w:val="none" w:sz="0" w:space="0" w:color="auto"/>
              </w:divBdr>
              <w:divsChild>
                <w:div w:id="222713215">
                  <w:marLeft w:val="0"/>
                  <w:marRight w:val="0"/>
                  <w:marTop w:val="0"/>
                  <w:marBottom w:val="0"/>
                  <w:divBdr>
                    <w:top w:val="none" w:sz="0" w:space="0" w:color="auto"/>
                    <w:left w:val="none" w:sz="0" w:space="0" w:color="auto"/>
                    <w:bottom w:val="none" w:sz="0" w:space="0" w:color="auto"/>
                    <w:right w:val="none" w:sz="0" w:space="0" w:color="auto"/>
                  </w:divBdr>
                  <w:divsChild>
                    <w:div w:id="2039620704">
                      <w:marLeft w:val="0"/>
                      <w:marRight w:val="0"/>
                      <w:marTop w:val="0"/>
                      <w:marBottom w:val="0"/>
                      <w:divBdr>
                        <w:top w:val="none" w:sz="0" w:space="0" w:color="auto"/>
                        <w:left w:val="none" w:sz="0" w:space="0" w:color="auto"/>
                        <w:bottom w:val="none" w:sz="0" w:space="0" w:color="auto"/>
                        <w:right w:val="none" w:sz="0" w:space="0" w:color="auto"/>
                      </w:divBdr>
                      <w:divsChild>
                        <w:div w:id="1517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089183">
      <w:bodyDiv w:val="1"/>
      <w:marLeft w:val="0"/>
      <w:marRight w:val="0"/>
      <w:marTop w:val="0"/>
      <w:marBottom w:val="0"/>
      <w:divBdr>
        <w:top w:val="none" w:sz="0" w:space="0" w:color="auto"/>
        <w:left w:val="none" w:sz="0" w:space="0" w:color="auto"/>
        <w:bottom w:val="none" w:sz="0" w:space="0" w:color="auto"/>
        <w:right w:val="none" w:sz="0" w:space="0" w:color="auto"/>
      </w:divBdr>
      <w:divsChild>
        <w:div w:id="1640262729">
          <w:marLeft w:val="0"/>
          <w:marRight w:val="0"/>
          <w:marTop w:val="0"/>
          <w:marBottom w:val="0"/>
          <w:divBdr>
            <w:top w:val="single" w:sz="2" w:space="0" w:color="2E2E2E"/>
            <w:left w:val="single" w:sz="2" w:space="0" w:color="2E2E2E"/>
            <w:bottom w:val="single" w:sz="2" w:space="0" w:color="2E2E2E"/>
            <w:right w:val="single" w:sz="2" w:space="0" w:color="2E2E2E"/>
          </w:divBdr>
          <w:divsChild>
            <w:div w:id="1832871685">
              <w:marLeft w:val="0"/>
              <w:marRight w:val="0"/>
              <w:marTop w:val="0"/>
              <w:marBottom w:val="0"/>
              <w:divBdr>
                <w:top w:val="single" w:sz="6" w:space="0" w:color="C9C9C9"/>
                <w:left w:val="none" w:sz="0" w:space="0" w:color="auto"/>
                <w:bottom w:val="none" w:sz="0" w:space="0" w:color="auto"/>
                <w:right w:val="none" w:sz="0" w:space="0" w:color="auto"/>
              </w:divBdr>
              <w:divsChild>
                <w:div w:id="253244579">
                  <w:marLeft w:val="0"/>
                  <w:marRight w:val="0"/>
                  <w:marTop w:val="0"/>
                  <w:marBottom w:val="0"/>
                  <w:divBdr>
                    <w:top w:val="none" w:sz="0" w:space="0" w:color="auto"/>
                    <w:left w:val="none" w:sz="0" w:space="0" w:color="auto"/>
                    <w:bottom w:val="none" w:sz="0" w:space="0" w:color="auto"/>
                    <w:right w:val="none" w:sz="0" w:space="0" w:color="auto"/>
                  </w:divBdr>
                  <w:divsChild>
                    <w:div w:id="146283993">
                      <w:marLeft w:val="0"/>
                      <w:marRight w:val="0"/>
                      <w:marTop w:val="0"/>
                      <w:marBottom w:val="0"/>
                      <w:divBdr>
                        <w:top w:val="none" w:sz="0" w:space="0" w:color="auto"/>
                        <w:left w:val="none" w:sz="0" w:space="0" w:color="auto"/>
                        <w:bottom w:val="none" w:sz="0" w:space="0" w:color="auto"/>
                        <w:right w:val="none" w:sz="0" w:space="0" w:color="auto"/>
                      </w:divBdr>
                      <w:divsChild>
                        <w:div w:id="1867449061">
                          <w:marLeft w:val="0"/>
                          <w:marRight w:val="0"/>
                          <w:marTop w:val="225"/>
                          <w:marBottom w:val="180"/>
                          <w:divBdr>
                            <w:top w:val="single" w:sz="6" w:space="0" w:color="D7D7D7"/>
                            <w:left w:val="single" w:sz="2" w:space="0" w:color="D7D7D7"/>
                            <w:bottom w:val="single" w:sz="6" w:space="0" w:color="D7D7D7"/>
                            <w:right w:val="single" w:sz="2" w:space="0" w:color="D7D7D7"/>
                          </w:divBdr>
                          <w:divsChild>
                            <w:div w:id="2084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1632">
      <w:bodyDiv w:val="1"/>
      <w:marLeft w:val="0"/>
      <w:marRight w:val="0"/>
      <w:marTop w:val="0"/>
      <w:marBottom w:val="0"/>
      <w:divBdr>
        <w:top w:val="none" w:sz="0" w:space="0" w:color="auto"/>
        <w:left w:val="none" w:sz="0" w:space="0" w:color="auto"/>
        <w:bottom w:val="none" w:sz="0" w:space="0" w:color="auto"/>
        <w:right w:val="none" w:sz="0" w:space="0" w:color="auto"/>
      </w:divBdr>
      <w:divsChild>
        <w:div w:id="1542132402">
          <w:marLeft w:val="0"/>
          <w:marRight w:val="0"/>
          <w:marTop w:val="0"/>
          <w:marBottom w:val="0"/>
          <w:divBdr>
            <w:top w:val="single" w:sz="2" w:space="0" w:color="2E2E2E"/>
            <w:left w:val="single" w:sz="2" w:space="0" w:color="2E2E2E"/>
            <w:bottom w:val="single" w:sz="2" w:space="0" w:color="2E2E2E"/>
            <w:right w:val="single" w:sz="2" w:space="0" w:color="2E2E2E"/>
          </w:divBdr>
          <w:divsChild>
            <w:div w:id="1703164451">
              <w:marLeft w:val="0"/>
              <w:marRight w:val="0"/>
              <w:marTop w:val="0"/>
              <w:marBottom w:val="0"/>
              <w:divBdr>
                <w:top w:val="single" w:sz="6" w:space="0" w:color="C9C9C9"/>
                <w:left w:val="none" w:sz="0" w:space="0" w:color="auto"/>
                <w:bottom w:val="none" w:sz="0" w:space="0" w:color="auto"/>
                <w:right w:val="none" w:sz="0" w:space="0" w:color="auto"/>
              </w:divBdr>
              <w:divsChild>
                <w:div w:id="2004239317">
                  <w:marLeft w:val="0"/>
                  <w:marRight w:val="0"/>
                  <w:marTop w:val="0"/>
                  <w:marBottom w:val="0"/>
                  <w:divBdr>
                    <w:top w:val="none" w:sz="0" w:space="0" w:color="auto"/>
                    <w:left w:val="none" w:sz="0" w:space="0" w:color="auto"/>
                    <w:bottom w:val="none" w:sz="0" w:space="0" w:color="auto"/>
                    <w:right w:val="none" w:sz="0" w:space="0" w:color="auto"/>
                  </w:divBdr>
                  <w:divsChild>
                    <w:div w:id="2028365054">
                      <w:marLeft w:val="0"/>
                      <w:marRight w:val="0"/>
                      <w:marTop w:val="0"/>
                      <w:marBottom w:val="0"/>
                      <w:divBdr>
                        <w:top w:val="none" w:sz="0" w:space="0" w:color="auto"/>
                        <w:left w:val="none" w:sz="0" w:space="0" w:color="auto"/>
                        <w:bottom w:val="none" w:sz="0" w:space="0" w:color="auto"/>
                        <w:right w:val="none" w:sz="0" w:space="0" w:color="auto"/>
                      </w:divBdr>
                      <w:divsChild>
                        <w:div w:id="8242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8691">
      <w:bodyDiv w:val="1"/>
      <w:marLeft w:val="0"/>
      <w:marRight w:val="0"/>
      <w:marTop w:val="0"/>
      <w:marBottom w:val="0"/>
      <w:divBdr>
        <w:top w:val="none" w:sz="0" w:space="0" w:color="auto"/>
        <w:left w:val="none" w:sz="0" w:space="0" w:color="auto"/>
        <w:bottom w:val="none" w:sz="0" w:space="0" w:color="auto"/>
        <w:right w:val="none" w:sz="0" w:space="0" w:color="auto"/>
      </w:divBdr>
    </w:div>
    <w:div w:id="1562866526">
      <w:bodyDiv w:val="1"/>
      <w:marLeft w:val="0"/>
      <w:marRight w:val="0"/>
      <w:marTop w:val="0"/>
      <w:marBottom w:val="0"/>
      <w:divBdr>
        <w:top w:val="none" w:sz="0" w:space="0" w:color="auto"/>
        <w:left w:val="none" w:sz="0" w:space="0" w:color="auto"/>
        <w:bottom w:val="none" w:sz="0" w:space="0" w:color="auto"/>
        <w:right w:val="none" w:sz="0" w:space="0" w:color="auto"/>
      </w:divBdr>
    </w:div>
    <w:div w:id="1814254281">
      <w:bodyDiv w:val="1"/>
      <w:marLeft w:val="0"/>
      <w:marRight w:val="0"/>
      <w:marTop w:val="0"/>
      <w:marBottom w:val="0"/>
      <w:divBdr>
        <w:top w:val="none" w:sz="0" w:space="0" w:color="auto"/>
        <w:left w:val="none" w:sz="0" w:space="0" w:color="auto"/>
        <w:bottom w:val="none" w:sz="0" w:space="0" w:color="auto"/>
        <w:right w:val="none" w:sz="0" w:space="0" w:color="auto"/>
      </w:divBdr>
    </w:div>
    <w:div w:id="2134329332">
      <w:bodyDiv w:val="1"/>
      <w:marLeft w:val="0"/>
      <w:marRight w:val="0"/>
      <w:marTop w:val="0"/>
      <w:marBottom w:val="0"/>
      <w:divBdr>
        <w:top w:val="none" w:sz="0" w:space="0" w:color="auto"/>
        <w:left w:val="none" w:sz="0" w:space="0" w:color="auto"/>
        <w:bottom w:val="none" w:sz="0" w:space="0" w:color="auto"/>
        <w:right w:val="none" w:sz="0" w:space="0" w:color="auto"/>
      </w:divBdr>
      <w:divsChild>
        <w:div w:id="2051566876">
          <w:marLeft w:val="0"/>
          <w:marRight w:val="0"/>
          <w:marTop w:val="0"/>
          <w:marBottom w:val="0"/>
          <w:divBdr>
            <w:top w:val="single" w:sz="2" w:space="0" w:color="2E2E2E"/>
            <w:left w:val="single" w:sz="2" w:space="0" w:color="2E2E2E"/>
            <w:bottom w:val="single" w:sz="2" w:space="0" w:color="2E2E2E"/>
            <w:right w:val="single" w:sz="2" w:space="0" w:color="2E2E2E"/>
          </w:divBdr>
          <w:divsChild>
            <w:div w:id="1034189626">
              <w:marLeft w:val="0"/>
              <w:marRight w:val="0"/>
              <w:marTop w:val="0"/>
              <w:marBottom w:val="0"/>
              <w:divBdr>
                <w:top w:val="single" w:sz="6" w:space="0" w:color="C9C9C9"/>
                <w:left w:val="none" w:sz="0" w:space="0" w:color="auto"/>
                <w:bottom w:val="none" w:sz="0" w:space="0" w:color="auto"/>
                <w:right w:val="none" w:sz="0" w:space="0" w:color="auto"/>
              </w:divBdr>
              <w:divsChild>
                <w:div w:id="645281881">
                  <w:marLeft w:val="0"/>
                  <w:marRight w:val="0"/>
                  <w:marTop w:val="0"/>
                  <w:marBottom w:val="0"/>
                  <w:divBdr>
                    <w:top w:val="none" w:sz="0" w:space="0" w:color="auto"/>
                    <w:left w:val="none" w:sz="0" w:space="0" w:color="auto"/>
                    <w:bottom w:val="none" w:sz="0" w:space="0" w:color="auto"/>
                    <w:right w:val="none" w:sz="0" w:space="0" w:color="auto"/>
                  </w:divBdr>
                  <w:divsChild>
                    <w:div w:id="1248805003">
                      <w:marLeft w:val="0"/>
                      <w:marRight w:val="0"/>
                      <w:marTop w:val="0"/>
                      <w:marBottom w:val="0"/>
                      <w:divBdr>
                        <w:top w:val="none" w:sz="0" w:space="0" w:color="auto"/>
                        <w:left w:val="none" w:sz="0" w:space="0" w:color="auto"/>
                        <w:bottom w:val="none" w:sz="0" w:space="0" w:color="auto"/>
                        <w:right w:val="none" w:sz="0" w:space="0" w:color="auto"/>
                      </w:divBdr>
                      <w:divsChild>
                        <w:div w:id="7338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baduoxun@126.com&#65307;wq65351031@126.com" TargetMode="External"/><Relationship Id="rId14" Type="http://schemas.openxmlformats.org/officeDocument/2006/relationships/chart" Target="charts/chart5.xml"/></Relationships>
</file>

<file path=word/_rels/endnotes.xml.rels><?xml version="1.0" encoding="UTF-8" standalone="yes"?>
<Relationships xmlns="http://schemas.openxmlformats.org/package/2006/relationships"><Relationship Id="rId1" Type="http://schemas.openxmlformats.org/officeDocument/2006/relationships/hyperlink" Target="http://www.sciencedirect.com/science/article/pii/S026151771730109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20013;&#31185;&#21338;&#36947;\Desktop\&#25968;&#25454;&#349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0013;&#31185;&#21338;&#36947;\Desktop\&#25968;&#25454;&#349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20013;&#31185;&#21338;&#36947;\Desktop\&#25968;&#25454;&#3492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20013;&#31185;&#21338;&#36947;\Desktop\&#25968;&#25454;&#3492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20013;&#31185;&#21338;&#36947;\Deskto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46981627296588"/>
          <c:y val="0.15219962088072353"/>
          <c:w val="0.80694925634295822"/>
          <c:h val="0.67406532516768725"/>
        </c:manualLayout>
      </c:layout>
      <c:lineChart>
        <c:grouping val="standard"/>
        <c:varyColors val="0"/>
        <c:ser>
          <c:idx val="0"/>
          <c:order val="0"/>
          <c:tx>
            <c:strRef>
              <c:f>Sheet1!$A$5</c:f>
              <c:strCache>
                <c:ptCount val="1"/>
                <c:pt idx="0">
                  <c:v>入境旅游人数</c:v>
                </c:pt>
              </c:strCache>
            </c:strRef>
          </c:tx>
          <c:spPr>
            <a:ln w="15875" cap="rnd">
              <a:solidFill>
                <a:schemeClr val="dk1">
                  <a:tint val="88500"/>
                </a:schemeClr>
              </a:solidFill>
              <a:round/>
            </a:ln>
            <a:effectLst/>
          </c:spPr>
          <c:marker>
            <c:symbol val="circle"/>
            <c:size val="5"/>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5" cap="flat" cmpd="sng" algn="ctr">
                <a:solidFill>
                  <a:schemeClr val="dk1">
                    <a:tint val="88500"/>
                    <a:shade val="95000"/>
                  </a:schemeClr>
                </a:solidFill>
                <a:round/>
              </a:ln>
              <a:effectLst/>
            </c:spPr>
          </c:marker>
          <c:dLbls>
            <c:delete val="1"/>
          </c:dLbls>
          <c:cat>
            <c:numRef>
              <c:f>Sheet1!$B$4:$L$4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Sheet1!$B$5:$L$5</c:f>
              <c:numCache>
                <c:formatCode>General</c:formatCode>
                <c:ptCount val="11"/>
                <c:pt idx="0">
                  <c:v>177.76</c:v>
                </c:pt>
                <c:pt idx="1">
                  <c:v>205.89000000000001</c:v>
                </c:pt>
                <c:pt idx="2">
                  <c:v>174.49</c:v>
                </c:pt>
                <c:pt idx="3">
                  <c:v>191.60999999999999</c:v>
                </c:pt>
                <c:pt idx="4">
                  <c:v>332.32</c:v>
                </c:pt>
                <c:pt idx="5">
                  <c:v>419.14000000000038</c:v>
                </c:pt>
                <c:pt idx="6">
                  <c:v>501.62</c:v>
                </c:pt>
                <c:pt idx="7">
                  <c:v>525.67999999999995</c:v>
                </c:pt>
                <c:pt idx="8">
                  <c:v>429.6</c:v>
                </c:pt>
                <c:pt idx="9">
                  <c:v>477.18</c:v>
                </c:pt>
                <c:pt idx="10">
                  <c:v>557.98</c:v>
                </c:pt>
              </c:numCache>
            </c:numRef>
          </c:val>
          <c:smooth val="0"/>
          <c:extLst xmlns:c16r2="http://schemas.microsoft.com/office/drawing/2015/06/chart">
            <c:ext xmlns:c16="http://schemas.microsoft.com/office/drawing/2014/chart" uri="{C3380CC4-5D6E-409C-BE32-E72D297353CC}">
              <c16:uniqueId val="{00000000-595F-4451-ACB0-A61487846B90}"/>
            </c:ext>
          </c:extLst>
        </c:ser>
        <c:dLbls>
          <c:showLegendKey val="0"/>
          <c:showVal val="1"/>
          <c:showCatName val="0"/>
          <c:showSerName val="0"/>
          <c:showPercent val="0"/>
          <c:showBubbleSize val="0"/>
        </c:dLbls>
        <c:marker val="1"/>
        <c:smooth val="0"/>
        <c:axId val="338803328"/>
        <c:axId val="338809984"/>
      </c:lineChart>
      <c:lineChart>
        <c:grouping val="standard"/>
        <c:varyColors val="0"/>
        <c:ser>
          <c:idx val="1"/>
          <c:order val="1"/>
          <c:tx>
            <c:strRef>
              <c:f>Sheet1!$A$6</c:f>
              <c:strCache>
                <c:ptCount val="1"/>
                <c:pt idx="0">
                  <c:v>入境旅游收入</c:v>
                </c:pt>
              </c:strCache>
            </c:strRef>
          </c:tx>
          <c:spPr>
            <a:ln w="15875" cap="rnd">
              <a:solidFill>
                <a:schemeClr val="dk1">
                  <a:tint val="55000"/>
                </a:schemeClr>
              </a:solidFill>
              <a:round/>
            </a:ln>
            <a:effectLst/>
          </c:spPr>
          <c:marker>
            <c:symbol val="square"/>
            <c:size val="5"/>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5" cap="flat" cmpd="sng" algn="ctr">
                <a:solidFill>
                  <a:schemeClr val="dk1">
                    <a:tint val="55000"/>
                    <a:shade val="95000"/>
                  </a:schemeClr>
                </a:solidFill>
                <a:round/>
              </a:ln>
              <a:effectLst/>
            </c:spPr>
          </c:marker>
          <c:cat>
            <c:numRef>
              <c:f>Sheet1!$B$4:$L$4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Sheet1!$B$6:$L$6</c:f>
              <c:numCache>
                <c:formatCode>General</c:formatCode>
                <c:ptCount val="11"/>
                <c:pt idx="0">
                  <c:v>6.18</c:v>
                </c:pt>
                <c:pt idx="1">
                  <c:v>7.1599999999999975</c:v>
                </c:pt>
                <c:pt idx="2">
                  <c:v>8.620000000000001</c:v>
                </c:pt>
                <c:pt idx="3">
                  <c:v>8.25</c:v>
                </c:pt>
                <c:pt idx="4">
                  <c:v>9.39</c:v>
                </c:pt>
                <c:pt idx="5">
                  <c:v>14.2</c:v>
                </c:pt>
                <c:pt idx="6">
                  <c:v>18.100000000000001</c:v>
                </c:pt>
                <c:pt idx="7">
                  <c:v>22.01</c:v>
                </c:pt>
                <c:pt idx="8">
                  <c:v>23.130000000000031</c:v>
                </c:pt>
                <c:pt idx="9">
                  <c:v>19.670000000000005</c:v>
                </c:pt>
                <c:pt idx="10">
                  <c:v>26.82</c:v>
                </c:pt>
              </c:numCache>
            </c:numRef>
          </c:val>
          <c:smooth val="0"/>
          <c:extLst xmlns:c16r2="http://schemas.microsoft.com/office/drawing/2015/06/chart">
            <c:ext xmlns:c16="http://schemas.microsoft.com/office/drawing/2014/chart" uri="{C3380CC4-5D6E-409C-BE32-E72D297353CC}">
              <c16:uniqueId val="{00000001-595F-4451-ACB0-A61487846B90}"/>
            </c:ext>
          </c:extLst>
        </c:ser>
        <c:dLbls>
          <c:showLegendKey val="0"/>
          <c:showVal val="0"/>
          <c:showCatName val="0"/>
          <c:showSerName val="0"/>
          <c:showPercent val="0"/>
          <c:showBubbleSize val="0"/>
        </c:dLbls>
        <c:marker val="1"/>
        <c:smooth val="0"/>
        <c:axId val="338814080"/>
        <c:axId val="338811904"/>
      </c:lineChart>
      <c:catAx>
        <c:axId val="338803328"/>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zh-CN"/>
                  <a:t>（年份）</a:t>
                </a:r>
              </a:p>
            </c:rich>
          </c:tx>
          <c:layout>
            <c:manualLayout>
              <c:xMode val="edge"/>
              <c:yMode val="edge"/>
              <c:x val="0.87438888888888999"/>
              <c:y val="0.837106299212598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338809984"/>
        <c:crosses val="autoZero"/>
        <c:auto val="1"/>
        <c:lblAlgn val="ctr"/>
        <c:lblOffset val="100"/>
        <c:noMultiLvlLbl val="0"/>
      </c:catAx>
      <c:valAx>
        <c:axId val="338809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cap="all" baseline="0">
                    <a:solidFill>
                      <a:sysClr val="windowText" lastClr="000000"/>
                    </a:solidFill>
                    <a:latin typeface="+mn-lt"/>
                    <a:ea typeface="+mn-ea"/>
                    <a:cs typeface="+mn-cs"/>
                  </a:defRPr>
                </a:pPr>
                <a:r>
                  <a:rPr lang="zh-CN"/>
                  <a:t>（万人次）</a:t>
                </a:r>
              </a:p>
            </c:rich>
          </c:tx>
          <c:layout>
            <c:manualLayout>
              <c:xMode val="edge"/>
              <c:yMode val="edge"/>
              <c:x val="0"/>
              <c:y val="6.056321084864414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338803328"/>
        <c:crosses val="autoZero"/>
        <c:crossBetween val="between"/>
      </c:valAx>
      <c:valAx>
        <c:axId val="338811904"/>
        <c:scaling>
          <c:orientation val="minMax"/>
        </c:scaling>
        <c:delete val="0"/>
        <c:axPos val="r"/>
        <c:title>
          <c:tx>
            <c:rich>
              <a:bodyPr rot="0" spcFirstLastPara="1" vertOverflow="ellipsis" wrap="square" anchor="ctr" anchorCtr="1"/>
              <a:lstStyle/>
              <a:p>
                <a:pPr>
                  <a:defRPr sz="900" b="0" i="0" u="none" strike="noStrike" kern="1200" cap="all" baseline="0">
                    <a:solidFill>
                      <a:sysClr val="windowText" lastClr="000000"/>
                    </a:solidFill>
                    <a:latin typeface="+mn-lt"/>
                    <a:ea typeface="+mn-ea"/>
                    <a:cs typeface="+mn-cs"/>
                  </a:defRPr>
                </a:pPr>
                <a:r>
                  <a:rPr lang="zh-CN"/>
                  <a:t>（亿美元）</a:t>
                </a:r>
              </a:p>
            </c:rich>
          </c:tx>
          <c:layout>
            <c:manualLayout>
              <c:xMode val="edge"/>
              <c:yMode val="edge"/>
              <c:x val="0.85833333333333361"/>
              <c:y val="6.056321084864414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crossAx val="338814080"/>
        <c:crosses val="max"/>
        <c:crossBetween val="between"/>
      </c:valAx>
      <c:catAx>
        <c:axId val="338814080"/>
        <c:scaling>
          <c:orientation val="minMax"/>
        </c:scaling>
        <c:delete val="1"/>
        <c:axPos val="b"/>
        <c:numFmt formatCode="General" sourceLinked="1"/>
        <c:majorTickMark val="none"/>
        <c:minorTickMark val="none"/>
        <c:tickLblPos val="nextTo"/>
        <c:crossAx val="338811904"/>
        <c:crosses val="autoZero"/>
        <c:auto val="1"/>
        <c:lblAlgn val="ctr"/>
        <c:lblOffset val="100"/>
        <c:noMultiLvlLbl val="0"/>
      </c:catAx>
      <c:spPr>
        <a:noFill/>
        <a:ln>
          <a:noFill/>
        </a:ln>
        <a:effectLst/>
      </c:spPr>
    </c:plotArea>
    <c:legend>
      <c:legendPos val="b"/>
      <c:layout>
        <c:manualLayout>
          <c:xMode val="edge"/>
          <c:yMode val="edge"/>
          <c:x val="0.24000000000000021"/>
          <c:y val="0.91724482356372294"/>
          <c:w val="0.5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165048118985125"/>
          <c:y val="0.17685185185185184"/>
          <c:w val="0.8089050743657058"/>
          <c:h val="0.6204243219597545"/>
        </c:manualLayout>
      </c:layout>
      <c:barChart>
        <c:barDir val="col"/>
        <c:grouping val="clustered"/>
        <c:varyColors val="0"/>
        <c:ser>
          <c:idx val="0"/>
          <c:order val="0"/>
          <c:tx>
            <c:strRef>
              <c:f>增长率对比!$P$2</c:f>
              <c:strCache>
                <c:ptCount val="1"/>
                <c:pt idx="0">
                  <c:v>入境旅游人数年均增长率</c:v>
                </c:pt>
              </c:strCache>
            </c:strRef>
          </c:tx>
          <c:spPr>
            <a:solidFill>
              <a:schemeClr val="dk1">
                <a:tint val="88500"/>
              </a:schemeClr>
            </a:solidFill>
            <a:ln>
              <a:noFill/>
            </a:ln>
            <a:effectLst/>
          </c:spPr>
          <c:invertIfNegative val="0"/>
          <c:dLbls>
            <c:delete val="1"/>
          </c:dLbls>
          <c:cat>
            <c:strRef>
              <c:f>增长率对比!$O$3:$O$7</c:f>
              <c:strCache>
                <c:ptCount val="5"/>
                <c:pt idx="0">
                  <c:v>全国</c:v>
                </c:pt>
                <c:pt idx="1">
                  <c:v>华北</c:v>
                </c:pt>
                <c:pt idx="2">
                  <c:v>华南</c:v>
                </c:pt>
                <c:pt idx="3">
                  <c:v>华东</c:v>
                </c:pt>
                <c:pt idx="4">
                  <c:v>西部</c:v>
                </c:pt>
              </c:strCache>
            </c:strRef>
          </c:cat>
          <c:val>
            <c:numRef>
              <c:f>增长率对比!$P$3:$P$7</c:f>
              <c:numCache>
                <c:formatCode>0.00%</c:formatCode>
                <c:ptCount val="5"/>
                <c:pt idx="0">
                  <c:v>1.3408747318828381E-2</c:v>
                </c:pt>
                <c:pt idx="1">
                  <c:v>1.6812614552415735E-2</c:v>
                </c:pt>
                <c:pt idx="2">
                  <c:v>0.15288470731306472</c:v>
                </c:pt>
                <c:pt idx="3">
                  <c:v>4.2372151621842803E-2</c:v>
                </c:pt>
                <c:pt idx="4">
                  <c:v>0.13592119696528129</c:v>
                </c:pt>
              </c:numCache>
            </c:numRef>
          </c:val>
          <c:extLst xmlns:c16r2="http://schemas.microsoft.com/office/drawing/2015/06/chart">
            <c:ext xmlns:c16="http://schemas.microsoft.com/office/drawing/2014/chart" uri="{C3380CC4-5D6E-409C-BE32-E72D297353CC}">
              <c16:uniqueId val="{00000000-A238-41B9-8BA8-52F2B33CE455}"/>
            </c:ext>
          </c:extLst>
        </c:ser>
        <c:ser>
          <c:idx val="1"/>
          <c:order val="1"/>
          <c:tx>
            <c:strRef>
              <c:f>增长率对比!$Q$2</c:f>
              <c:strCache>
                <c:ptCount val="1"/>
                <c:pt idx="0">
                  <c:v>入境旅游收入年均增长率</c:v>
                </c:pt>
              </c:strCache>
            </c:strRef>
          </c:tx>
          <c:spPr>
            <a:solidFill>
              <a:schemeClr val="dk1">
                <a:tint val="55000"/>
              </a:schemeClr>
            </a:solidFill>
            <a:ln>
              <a:noFill/>
            </a:ln>
            <a:effectLst/>
          </c:spPr>
          <c:invertIfNegative val="0"/>
          <c:dLbls>
            <c:delete val="1"/>
          </c:dLbls>
          <c:cat>
            <c:strRef>
              <c:f>增长率对比!$O$3:$O$7</c:f>
              <c:strCache>
                <c:ptCount val="5"/>
                <c:pt idx="0">
                  <c:v>全国</c:v>
                </c:pt>
                <c:pt idx="1">
                  <c:v>华北</c:v>
                </c:pt>
                <c:pt idx="2">
                  <c:v>华南</c:v>
                </c:pt>
                <c:pt idx="3">
                  <c:v>华东</c:v>
                </c:pt>
                <c:pt idx="4">
                  <c:v>西部</c:v>
                </c:pt>
              </c:strCache>
            </c:strRef>
          </c:cat>
          <c:val>
            <c:numRef>
              <c:f>增长率对比!$Q$3:$Q$7</c:f>
              <c:numCache>
                <c:formatCode>0.00%</c:formatCode>
                <c:ptCount val="5"/>
                <c:pt idx="0">
                  <c:v>0.16006340730346141</c:v>
                </c:pt>
                <c:pt idx="1">
                  <c:v>3.409622180664041E-2</c:v>
                </c:pt>
                <c:pt idx="2">
                  <c:v>0.21381317082586312</c:v>
                </c:pt>
                <c:pt idx="3">
                  <c:v>6.1801316301195175E-2</c:v>
                </c:pt>
                <c:pt idx="4">
                  <c:v>0.16265059126556417</c:v>
                </c:pt>
              </c:numCache>
            </c:numRef>
          </c:val>
          <c:extLst xmlns:c16r2="http://schemas.microsoft.com/office/drawing/2015/06/chart">
            <c:ext xmlns:c16="http://schemas.microsoft.com/office/drawing/2014/chart" uri="{C3380CC4-5D6E-409C-BE32-E72D297353CC}">
              <c16:uniqueId val="{00000001-A238-41B9-8BA8-52F2B33CE455}"/>
            </c:ext>
          </c:extLst>
        </c:ser>
        <c:dLbls>
          <c:showLegendKey val="0"/>
          <c:showVal val="1"/>
          <c:showCatName val="0"/>
          <c:showSerName val="0"/>
          <c:showPercent val="0"/>
          <c:showBubbleSize val="0"/>
        </c:dLbls>
        <c:gapWidth val="219"/>
        <c:overlap val="-27"/>
        <c:axId val="344464000"/>
        <c:axId val="344478464"/>
      </c:barChart>
      <c:catAx>
        <c:axId val="34446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sz="900"/>
                  <a:t>（地区）</a:t>
                </a:r>
              </a:p>
            </c:rich>
          </c:tx>
          <c:layout>
            <c:manualLayout>
              <c:xMode val="edge"/>
              <c:yMode val="edge"/>
              <c:x val="0.87193635170603656"/>
              <c:y val="0.8107633420822387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44478464"/>
        <c:crosses val="autoZero"/>
        <c:auto val="1"/>
        <c:lblAlgn val="ctr"/>
        <c:lblOffset val="100"/>
        <c:noMultiLvlLbl val="0"/>
      </c:catAx>
      <c:valAx>
        <c:axId val="34447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sz="900"/>
                  <a:t>（增长率）</a:t>
                </a:r>
              </a:p>
            </c:rich>
          </c:tx>
          <c:layout>
            <c:manualLayout>
              <c:xMode val="edge"/>
              <c:yMode val="edge"/>
              <c:x val="0"/>
              <c:y val="7.2712160979877594E-2"/>
            </c:manualLayout>
          </c:layout>
          <c:overlay val="0"/>
          <c:spPr>
            <a:noFill/>
            <a:ln>
              <a:noFill/>
            </a:ln>
            <a:effectLst/>
          </c:spPr>
        </c:title>
        <c:numFmt formatCode="0.00%" sourceLinked="1"/>
        <c:majorTickMark val="cross"/>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4446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702537182852165"/>
          <c:y val="0.125"/>
          <c:w val="0.77630796150481185"/>
          <c:h val="0.66169728783902149"/>
        </c:manualLayout>
      </c:layout>
      <c:lineChart>
        <c:grouping val="standard"/>
        <c:varyColors val="0"/>
        <c:ser>
          <c:idx val="0"/>
          <c:order val="0"/>
          <c:tx>
            <c:strRef>
              <c:f>人均花费!$B$3</c:f>
              <c:strCache>
                <c:ptCount val="1"/>
                <c:pt idx="0">
                  <c:v>华北</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delete val="1"/>
          </c:dLbls>
          <c:cat>
            <c:numRef>
              <c:f>人均花费!$C$2:$L$2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人均花费!$C$3:$L$3</c:f>
              <c:numCache>
                <c:formatCode>General</c:formatCode>
                <c:ptCount val="10"/>
                <c:pt idx="0">
                  <c:v>246.09</c:v>
                </c:pt>
                <c:pt idx="1">
                  <c:v>252.45000000000007</c:v>
                </c:pt>
                <c:pt idx="2">
                  <c:v>255.79</c:v>
                </c:pt>
                <c:pt idx="3">
                  <c:v>252.46</c:v>
                </c:pt>
                <c:pt idx="4">
                  <c:v>245.49</c:v>
                </c:pt>
                <c:pt idx="5">
                  <c:v>247.78</c:v>
                </c:pt>
                <c:pt idx="6">
                  <c:v>243.01</c:v>
                </c:pt>
                <c:pt idx="7">
                  <c:v>252.41</c:v>
                </c:pt>
                <c:pt idx="8">
                  <c:v>254.23</c:v>
                </c:pt>
                <c:pt idx="9">
                  <c:v>259.58</c:v>
                </c:pt>
              </c:numCache>
            </c:numRef>
          </c:val>
          <c:smooth val="0"/>
          <c:extLst xmlns:c16r2="http://schemas.microsoft.com/office/drawing/2015/06/chart">
            <c:ext xmlns:c16="http://schemas.microsoft.com/office/drawing/2014/chart" uri="{C3380CC4-5D6E-409C-BE32-E72D297353CC}">
              <c16:uniqueId val="{00000005-E695-46C6-979C-587D8FE8E692}"/>
            </c:ext>
          </c:extLst>
        </c:ser>
        <c:ser>
          <c:idx val="1"/>
          <c:order val="1"/>
          <c:tx>
            <c:strRef>
              <c:f>人均花费!$B$4</c:f>
              <c:strCache>
                <c:ptCount val="1"/>
                <c:pt idx="0">
                  <c:v>华南</c:v>
                </c:pt>
              </c:strCache>
            </c:strRef>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dLbls>
            <c:delete val="1"/>
          </c:dLbls>
          <c:cat>
            <c:numRef>
              <c:f>人均花费!$C$2:$L$2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人均花费!$C$4:$L$4</c:f>
              <c:numCache>
                <c:formatCode>General</c:formatCode>
                <c:ptCount val="10"/>
                <c:pt idx="0">
                  <c:v>174.98000000000025</c:v>
                </c:pt>
                <c:pt idx="1">
                  <c:v>179.29</c:v>
                </c:pt>
                <c:pt idx="2">
                  <c:v>173.39000000000001</c:v>
                </c:pt>
                <c:pt idx="3">
                  <c:v>175.63</c:v>
                </c:pt>
                <c:pt idx="4">
                  <c:v>175.45000000000007</c:v>
                </c:pt>
                <c:pt idx="5">
                  <c:v>176.69</c:v>
                </c:pt>
                <c:pt idx="6">
                  <c:v>176.63</c:v>
                </c:pt>
                <c:pt idx="7">
                  <c:v>185.15</c:v>
                </c:pt>
                <c:pt idx="8">
                  <c:v>185.59</c:v>
                </c:pt>
                <c:pt idx="9">
                  <c:v>192.94</c:v>
                </c:pt>
              </c:numCache>
            </c:numRef>
          </c:val>
          <c:smooth val="0"/>
          <c:extLst xmlns:c16r2="http://schemas.microsoft.com/office/drawing/2015/06/chart">
            <c:ext xmlns:c16="http://schemas.microsoft.com/office/drawing/2014/chart" uri="{C3380CC4-5D6E-409C-BE32-E72D297353CC}">
              <c16:uniqueId val="{00000006-E695-46C6-979C-587D8FE8E692}"/>
            </c:ext>
          </c:extLst>
        </c:ser>
        <c:ser>
          <c:idx val="2"/>
          <c:order val="2"/>
          <c:tx>
            <c:strRef>
              <c:f>人均花费!$B$5</c:f>
              <c:strCache>
                <c:ptCount val="1"/>
                <c:pt idx="0">
                  <c:v>华东</c:v>
                </c:pt>
              </c:strCache>
            </c:strRef>
          </c:tx>
          <c:spPr>
            <a:ln w="28575" cap="rnd">
              <a:solidFill>
                <a:schemeClr val="dk1">
                  <a:tint val="75000"/>
                </a:schemeClr>
              </a:solidFill>
              <a:round/>
            </a:ln>
            <a:effectLst/>
          </c:spPr>
          <c:marker>
            <c:symbol val="square"/>
            <c:size val="5"/>
            <c:spPr>
              <a:solidFill>
                <a:schemeClr val="dk1">
                  <a:tint val="75000"/>
                </a:schemeClr>
              </a:solidFill>
              <a:ln w="9525">
                <a:solidFill>
                  <a:schemeClr val="dk1">
                    <a:tint val="75000"/>
                  </a:schemeClr>
                </a:solidFill>
              </a:ln>
              <a:effectLst/>
            </c:spPr>
          </c:marker>
          <c:dLbls>
            <c:delete val="1"/>
          </c:dLbls>
          <c:cat>
            <c:numRef>
              <c:f>人均花费!$C$2:$L$2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人均花费!$C$5:$L$5</c:f>
              <c:numCache>
                <c:formatCode>General</c:formatCode>
                <c:ptCount val="10"/>
                <c:pt idx="0">
                  <c:v>233.20999999999998</c:v>
                </c:pt>
                <c:pt idx="1">
                  <c:v>242.8</c:v>
                </c:pt>
                <c:pt idx="2">
                  <c:v>250.57</c:v>
                </c:pt>
                <c:pt idx="3">
                  <c:v>248.48000000000025</c:v>
                </c:pt>
                <c:pt idx="4">
                  <c:v>245.08</c:v>
                </c:pt>
                <c:pt idx="5">
                  <c:v>251.81</c:v>
                </c:pt>
                <c:pt idx="6">
                  <c:v>252.79</c:v>
                </c:pt>
                <c:pt idx="7">
                  <c:v>259.33</c:v>
                </c:pt>
                <c:pt idx="8">
                  <c:v>268.7</c:v>
                </c:pt>
                <c:pt idx="9">
                  <c:v>272.67</c:v>
                </c:pt>
              </c:numCache>
            </c:numRef>
          </c:val>
          <c:smooth val="0"/>
          <c:extLst xmlns:c16r2="http://schemas.microsoft.com/office/drawing/2015/06/chart">
            <c:ext xmlns:c16="http://schemas.microsoft.com/office/drawing/2014/chart" uri="{C3380CC4-5D6E-409C-BE32-E72D297353CC}">
              <c16:uniqueId val="{0000000C-E695-46C6-979C-587D8FE8E692}"/>
            </c:ext>
          </c:extLst>
        </c:ser>
        <c:ser>
          <c:idx val="3"/>
          <c:order val="3"/>
          <c:tx>
            <c:strRef>
              <c:f>人均花费!$B$6</c:f>
              <c:strCache>
                <c:ptCount val="1"/>
                <c:pt idx="0">
                  <c:v>西部</c:v>
                </c:pt>
              </c:strCache>
            </c:strRef>
          </c:tx>
          <c:spPr>
            <a:ln w="28575" cap="rnd">
              <a:solidFill>
                <a:schemeClr val="dk1">
                  <a:tint val="98500"/>
                </a:schemeClr>
              </a:solidFill>
              <a:round/>
            </a:ln>
            <a:effectLst/>
          </c:spPr>
          <c:marker>
            <c:symbol val="diamond"/>
            <c:size val="6"/>
            <c:spPr>
              <a:solidFill>
                <a:schemeClr val="dk1">
                  <a:tint val="98500"/>
                </a:schemeClr>
              </a:solidFill>
              <a:ln w="9525">
                <a:solidFill>
                  <a:schemeClr val="dk1">
                    <a:tint val="98500"/>
                  </a:schemeClr>
                </a:solidFill>
              </a:ln>
              <a:effectLst/>
            </c:spPr>
          </c:marker>
          <c:dLbls>
            <c:delete val="1"/>
          </c:dLbls>
          <c:cat>
            <c:numRef>
              <c:f>人均花费!$C$2:$L$2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人均花费!$C$6:$L$6</c:f>
              <c:numCache>
                <c:formatCode>General</c:formatCode>
                <c:ptCount val="10"/>
                <c:pt idx="0">
                  <c:v>150.94800000000001</c:v>
                </c:pt>
                <c:pt idx="1">
                  <c:v>154.43400000000003</c:v>
                </c:pt>
                <c:pt idx="2">
                  <c:v>164.50800000000001</c:v>
                </c:pt>
                <c:pt idx="3">
                  <c:v>165.49200000000027</c:v>
                </c:pt>
                <c:pt idx="4">
                  <c:v>162.95400000000001</c:v>
                </c:pt>
                <c:pt idx="5">
                  <c:v>166.256</c:v>
                </c:pt>
                <c:pt idx="6">
                  <c:v>165.84200000000001</c:v>
                </c:pt>
                <c:pt idx="7">
                  <c:v>165.63399999999999</c:v>
                </c:pt>
                <c:pt idx="8">
                  <c:v>170.06599999999997</c:v>
                </c:pt>
                <c:pt idx="9">
                  <c:v>173.5</c:v>
                </c:pt>
              </c:numCache>
            </c:numRef>
          </c:val>
          <c:smooth val="0"/>
          <c:extLst xmlns:c16r2="http://schemas.microsoft.com/office/drawing/2015/06/chart">
            <c:ext xmlns:c16="http://schemas.microsoft.com/office/drawing/2014/chart" uri="{C3380CC4-5D6E-409C-BE32-E72D297353CC}">
              <c16:uniqueId val="{0000000D-E695-46C6-979C-587D8FE8E692}"/>
            </c:ext>
          </c:extLst>
        </c:ser>
        <c:dLbls>
          <c:showLegendKey val="0"/>
          <c:showVal val="1"/>
          <c:showCatName val="0"/>
          <c:showSerName val="0"/>
          <c:showPercent val="0"/>
          <c:showBubbleSize val="0"/>
        </c:dLbls>
        <c:marker val="1"/>
        <c:smooth val="0"/>
        <c:axId val="344494848"/>
        <c:axId val="344497152"/>
      </c:lineChart>
      <c:catAx>
        <c:axId val="34449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（年份）</a:t>
                </a:r>
              </a:p>
            </c:rich>
          </c:tx>
          <c:layout>
            <c:manualLayout>
              <c:xMode val="edge"/>
              <c:yMode val="edge"/>
              <c:x val="0.85629046369203865"/>
              <c:y val="0.7922448235637227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44497152"/>
        <c:crosses val="autoZero"/>
        <c:auto val="1"/>
        <c:lblAlgn val="ctr"/>
        <c:lblOffset val="100"/>
        <c:noMultiLvlLbl val="0"/>
      </c:catAx>
      <c:valAx>
        <c:axId val="344497152"/>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（美元</a:t>
                </a:r>
                <a:r>
                  <a:rPr lang="en-US" altLang="zh-CN"/>
                  <a:t>/</a:t>
                </a:r>
                <a:r>
                  <a:rPr lang="zh-CN" altLang="en-US"/>
                  <a:t>天）</a:t>
                </a:r>
              </a:p>
            </c:rich>
          </c:tx>
          <c:layout>
            <c:manualLayout>
              <c:xMode val="edge"/>
              <c:yMode val="edge"/>
              <c:x val="1.3888888888888923E-2"/>
              <c:y val="2.992271799358414E-2"/>
            </c:manualLayout>
          </c:layout>
          <c:overlay val="0"/>
          <c:spPr>
            <a:noFill/>
            <a:ln>
              <a:noFill/>
            </a:ln>
            <a:effectLst/>
          </c:spPr>
        </c:title>
        <c:numFmt formatCode="General" sourceLinked="1"/>
        <c:majorTickMark val="cross"/>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44494848"/>
        <c:crosses val="autoZero"/>
        <c:crossBetween val="between"/>
        <c:majorUnit val="2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231714785651796"/>
          <c:y val="0.16203703703703734"/>
          <c:w val="0.79490507436570534"/>
          <c:h val="0.62466025080198362"/>
        </c:manualLayout>
      </c:layout>
      <c:lineChart>
        <c:grouping val="standard"/>
        <c:varyColors val="0"/>
        <c:ser>
          <c:idx val="0"/>
          <c:order val="0"/>
          <c:tx>
            <c:strRef>
              <c:f>消费结构!$C$6</c:f>
              <c:strCache>
                <c:ptCount val="1"/>
                <c:pt idx="0">
                  <c:v>全国</c:v>
                </c:pt>
              </c:strCache>
            </c:strRef>
          </c:tx>
          <c:spPr>
            <a:ln w="28575" cap="rnd">
              <a:solidFill>
                <a:schemeClr val="dk1">
                  <a:tint val="88500"/>
                </a:schemeClr>
              </a:solidFill>
              <a:round/>
            </a:ln>
            <a:effectLst/>
          </c:spPr>
          <c:marker>
            <c:symbol val="square"/>
            <c:size val="5"/>
            <c:spPr>
              <a:solidFill>
                <a:schemeClr val="dk1">
                  <a:tint val="88500"/>
                </a:schemeClr>
              </a:solidFill>
              <a:ln w="9525">
                <a:solidFill>
                  <a:schemeClr val="dk1">
                    <a:tint val="88500"/>
                  </a:schemeClr>
                </a:solidFill>
              </a:ln>
              <a:effectLst/>
            </c:spPr>
          </c:marker>
          <c:dLbls>
            <c:delete val="1"/>
          </c:dLbls>
          <c:cat>
            <c:numRef>
              <c:f>消费结构!$D$5:$J$5</c:f>
              <c:numCache>
                <c:formatCode>General</c:formatCode>
                <c:ptCount val="7"/>
                <c:pt idx="0">
                  <c:v>2009</c:v>
                </c:pt>
                <c:pt idx="1">
                  <c:v>2010</c:v>
                </c:pt>
                <c:pt idx="2">
                  <c:v>2011</c:v>
                </c:pt>
                <c:pt idx="3">
                  <c:v>2012</c:v>
                </c:pt>
                <c:pt idx="4">
                  <c:v>2013</c:v>
                </c:pt>
                <c:pt idx="5">
                  <c:v>2014</c:v>
                </c:pt>
                <c:pt idx="6">
                  <c:v>2015</c:v>
                </c:pt>
              </c:numCache>
            </c:numRef>
          </c:cat>
          <c:val>
            <c:numRef>
              <c:f>消费结构!$D$6:$J$6</c:f>
              <c:numCache>
                <c:formatCode>0.00_ </c:formatCode>
                <c:ptCount val="7"/>
                <c:pt idx="0">
                  <c:v>0.71232876712328774</c:v>
                </c:pt>
                <c:pt idx="1">
                  <c:v>0.79211469534050183</c:v>
                </c:pt>
                <c:pt idx="2">
                  <c:v>0.7361111111111116</c:v>
                </c:pt>
                <c:pt idx="3">
                  <c:v>0.64744645799011646</c:v>
                </c:pt>
                <c:pt idx="4">
                  <c:v>0.61004669135404965</c:v>
                </c:pt>
                <c:pt idx="5">
                  <c:v>0.5748031496062993</c:v>
                </c:pt>
                <c:pt idx="6">
                  <c:v>0.54968944099379002</c:v>
                </c:pt>
              </c:numCache>
            </c:numRef>
          </c:val>
          <c:smooth val="0"/>
          <c:extLst xmlns:c16r2="http://schemas.microsoft.com/office/drawing/2015/06/chart">
            <c:ext xmlns:c16="http://schemas.microsoft.com/office/drawing/2014/chart" uri="{C3380CC4-5D6E-409C-BE32-E72D297353CC}">
              <c16:uniqueId val="{00000000-4A65-4A1C-A506-9B80B31B8EAB}"/>
            </c:ext>
          </c:extLst>
        </c:ser>
        <c:ser>
          <c:idx val="1"/>
          <c:order val="1"/>
          <c:tx>
            <c:strRef>
              <c:f>消费结构!$C$7</c:f>
              <c:strCache>
                <c:ptCount val="1"/>
                <c:pt idx="0">
                  <c:v>西部</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delete val="1"/>
          </c:dLbls>
          <c:cat>
            <c:numRef>
              <c:f>消费结构!$D$5:$J$5</c:f>
              <c:numCache>
                <c:formatCode>General</c:formatCode>
                <c:ptCount val="7"/>
                <c:pt idx="0">
                  <c:v>2009</c:v>
                </c:pt>
                <c:pt idx="1">
                  <c:v>2010</c:v>
                </c:pt>
                <c:pt idx="2">
                  <c:v>2011</c:v>
                </c:pt>
                <c:pt idx="3">
                  <c:v>2012</c:v>
                </c:pt>
                <c:pt idx="4">
                  <c:v>2013</c:v>
                </c:pt>
                <c:pt idx="5">
                  <c:v>2014</c:v>
                </c:pt>
                <c:pt idx="6">
                  <c:v>2015</c:v>
                </c:pt>
              </c:numCache>
            </c:numRef>
          </c:cat>
          <c:val>
            <c:numRef>
              <c:f>消费结构!$D$7:$J$7</c:f>
              <c:numCache>
                <c:formatCode>0.00_ </c:formatCode>
                <c:ptCount val="7"/>
                <c:pt idx="0">
                  <c:v>0.71722953634802711</c:v>
                </c:pt>
                <c:pt idx="1">
                  <c:v>0.56006240249609995</c:v>
                </c:pt>
                <c:pt idx="2">
                  <c:v>0.58478605388272487</c:v>
                </c:pt>
                <c:pt idx="3">
                  <c:v>0.51142605404283958</c:v>
                </c:pt>
                <c:pt idx="4">
                  <c:v>0.5243895471352632</c:v>
                </c:pt>
                <c:pt idx="5">
                  <c:v>0.44857082623004652</c:v>
                </c:pt>
                <c:pt idx="6">
                  <c:v>0.52741713762028408</c:v>
                </c:pt>
              </c:numCache>
            </c:numRef>
          </c:val>
          <c:smooth val="0"/>
          <c:extLst xmlns:c16r2="http://schemas.microsoft.com/office/drawing/2015/06/chart">
            <c:ext xmlns:c16="http://schemas.microsoft.com/office/drawing/2014/chart" uri="{C3380CC4-5D6E-409C-BE32-E72D297353CC}">
              <c16:uniqueId val="{00000001-4A65-4A1C-A506-9B80B31B8EAB}"/>
            </c:ext>
          </c:extLst>
        </c:ser>
        <c:dLbls>
          <c:showLegendKey val="0"/>
          <c:showVal val="1"/>
          <c:showCatName val="0"/>
          <c:showSerName val="0"/>
          <c:showPercent val="0"/>
          <c:showBubbleSize val="0"/>
        </c:dLbls>
        <c:marker val="1"/>
        <c:smooth val="0"/>
        <c:axId val="344510848"/>
        <c:axId val="344513152"/>
      </c:lineChart>
      <c:catAx>
        <c:axId val="344510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（年份）</a:t>
                </a:r>
              </a:p>
            </c:rich>
          </c:tx>
          <c:layout>
            <c:manualLayout>
              <c:xMode val="edge"/>
              <c:yMode val="edge"/>
              <c:x val="0.85949188310085078"/>
              <c:y val="0.80146844371972059"/>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44513152"/>
        <c:crosses val="autoZero"/>
        <c:auto val="1"/>
        <c:lblAlgn val="ctr"/>
        <c:lblOffset val="100"/>
        <c:noMultiLvlLbl val="0"/>
      </c:catAx>
      <c:valAx>
        <c:axId val="344513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a:t>
                </a:r>
                <a:r>
                  <a:rPr lang="en-US" altLang="zh-CN"/>
                  <a:t>E</a:t>
                </a:r>
                <a:r>
                  <a:rPr lang="zh-CN" altLang="en-US"/>
                  <a:t>值）</a:t>
                </a:r>
              </a:p>
            </c:rich>
          </c:tx>
          <c:layout>
            <c:manualLayout>
              <c:xMode val="edge"/>
              <c:yMode val="edge"/>
              <c:x val="0"/>
              <c:y val="6.2330125400991573E-2"/>
            </c:manualLayout>
          </c:layout>
          <c:overlay val="0"/>
          <c:spPr>
            <a:noFill/>
            <a:ln>
              <a:noFill/>
            </a:ln>
            <a:effectLst/>
          </c:spPr>
        </c:title>
        <c:numFmt formatCode="0.00_ " sourceLinked="1"/>
        <c:majorTickMark val="cross"/>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4451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89838145231846"/>
          <c:y val="0.1388888888888889"/>
          <c:w val="0.75323835372667403"/>
          <c:h val="0.64780839895013165"/>
        </c:manualLayout>
      </c:layout>
      <c:lineChart>
        <c:grouping val="standard"/>
        <c:varyColors val="0"/>
        <c:ser>
          <c:idx val="0"/>
          <c:order val="0"/>
          <c:tx>
            <c:strRef>
              <c:f>客源结构!$B$5</c:f>
              <c:strCache>
                <c:ptCount val="1"/>
                <c:pt idx="0">
                  <c:v>全国</c:v>
                </c:pt>
              </c:strCache>
            </c:strRef>
          </c:tx>
          <c:spPr>
            <a:ln w="1270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客源结构!$C$4:$L$4</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客源结构!$C$5:$L$5</c:f>
              <c:numCache>
                <c:formatCode>0.00_ </c:formatCode>
                <c:ptCount val="10"/>
                <c:pt idx="0">
                  <c:v>4.6242969628796375</c:v>
                </c:pt>
                <c:pt idx="1">
                  <c:v>4.0505050505050377</c:v>
                </c:pt>
                <c:pt idx="2">
                  <c:v>4.34473543559593</c:v>
                </c:pt>
                <c:pt idx="3">
                  <c:v>4.7636887608069145</c:v>
                </c:pt>
                <c:pt idx="4">
                  <c:v>4.1203277009728634</c:v>
                </c:pt>
                <c:pt idx="5">
                  <c:v>3.9950049950049937</c:v>
                </c:pt>
                <c:pt idx="6">
                  <c:v>3.8685491723466408</c:v>
                </c:pt>
                <c:pt idx="7">
                  <c:v>3.9091801669121282</c:v>
                </c:pt>
                <c:pt idx="8">
                  <c:v>3.8756704046806374</c:v>
                </c:pt>
                <c:pt idx="9">
                  <c:v>4.1493305870236874</c:v>
                </c:pt>
              </c:numCache>
            </c:numRef>
          </c:val>
          <c:smooth val="0"/>
          <c:extLst xmlns:c16r2="http://schemas.microsoft.com/office/drawing/2015/06/chart">
            <c:ext xmlns:c16="http://schemas.microsoft.com/office/drawing/2014/chart" uri="{C3380CC4-5D6E-409C-BE32-E72D297353CC}">
              <c16:uniqueId val="{00000000-12EE-4B66-96F8-BCE8A2F518EC}"/>
            </c:ext>
          </c:extLst>
        </c:ser>
        <c:ser>
          <c:idx val="1"/>
          <c:order val="1"/>
          <c:tx>
            <c:strRef>
              <c:f>客源结构!$B$6</c:f>
              <c:strCache>
                <c:ptCount val="1"/>
                <c:pt idx="0">
                  <c:v>华北</c:v>
                </c:pt>
              </c:strCache>
            </c:strRef>
          </c:tx>
          <c:spPr>
            <a:ln w="12700" cap="rnd">
              <a:solidFill>
                <a:schemeClr val="dk1">
                  <a:tint val="55000"/>
                </a:schemeClr>
              </a:solidFill>
              <a:round/>
            </a:ln>
            <a:effectLst/>
          </c:spPr>
          <c:marker>
            <c:symbol val="plus"/>
            <c:size val="5"/>
            <c:spPr>
              <a:noFill/>
              <a:ln w="9525">
                <a:solidFill>
                  <a:schemeClr val="dk1">
                    <a:tint val="55000"/>
                  </a:schemeClr>
                </a:solidFill>
              </a:ln>
              <a:effectLst/>
            </c:spPr>
          </c:marker>
          <c:cat>
            <c:numRef>
              <c:f>客源结构!$C$4:$L$4</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客源结构!$C$6:$L$6</c:f>
              <c:numCache>
                <c:formatCode>0.00_);[Red]\(0.00\)</c:formatCode>
                <c:ptCount val="10"/>
                <c:pt idx="0">
                  <c:v>0.15370972509606887</c:v>
                </c:pt>
                <c:pt idx="1">
                  <c:v>0.13826450601150025</c:v>
                </c:pt>
                <c:pt idx="2">
                  <c:v>0.12898421209413174</c:v>
                </c:pt>
                <c:pt idx="3">
                  <c:v>0.20297462817147871</c:v>
                </c:pt>
                <c:pt idx="4">
                  <c:v>0.16223908918406107</c:v>
                </c:pt>
                <c:pt idx="5">
                  <c:v>0.16316495306213691</c:v>
                </c:pt>
                <c:pt idx="6">
                  <c:v>0.15308471454880296</c:v>
                </c:pt>
                <c:pt idx="7">
                  <c:v>0.1612487100103199</c:v>
                </c:pt>
                <c:pt idx="8">
                  <c:v>0.16965228284300929</c:v>
                </c:pt>
                <c:pt idx="9">
                  <c:v>0.17449664429530237</c:v>
                </c:pt>
              </c:numCache>
            </c:numRef>
          </c:val>
          <c:smooth val="0"/>
          <c:extLst xmlns:c16r2="http://schemas.microsoft.com/office/drawing/2015/06/chart">
            <c:ext xmlns:c16="http://schemas.microsoft.com/office/drawing/2014/chart" uri="{C3380CC4-5D6E-409C-BE32-E72D297353CC}">
              <c16:uniqueId val="{00000001-12EE-4B66-96F8-BCE8A2F518EC}"/>
            </c:ext>
          </c:extLst>
        </c:ser>
        <c:ser>
          <c:idx val="2"/>
          <c:order val="2"/>
          <c:tx>
            <c:strRef>
              <c:f>客源结构!$B$7</c:f>
              <c:strCache>
                <c:ptCount val="1"/>
                <c:pt idx="0">
                  <c:v>华南</c:v>
                </c:pt>
              </c:strCache>
            </c:strRef>
          </c:tx>
          <c:spPr>
            <a:ln w="12700" cap="rnd">
              <a:solidFill>
                <a:schemeClr val="dk1">
                  <a:tint val="75000"/>
                </a:schemeClr>
              </a:solidFill>
              <a:round/>
            </a:ln>
            <a:effectLst/>
          </c:spPr>
          <c:marker>
            <c:symbol val="diamond"/>
            <c:size val="5"/>
            <c:spPr>
              <a:solidFill>
                <a:schemeClr val="dk1">
                  <a:tint val="75000"/>
                </a:schemeClr>
              </a:solidFill>
              <a:ln w="9525">
                <a:solidFill>
                  <a:schemeClr val="dk1">
                    <a:tint val="75000"/>
                  </a:schemeClr>
                </a:solidFill>
              </a:ln>
              <a:effectLst/>
            </c:spPr>
          </c:marker>
          <c:cat>
            <c:numRef>
              <c:f>客源结构!$C$4:$L$4</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客源结构!$C$7:$L$7</c:f>
              <c:numCache>
                <c:formatCode>0.00_);[Red]\(0.00\)</c:formatCode>
                <c:ptCount val="10"/>
                <c:pt idx="0">
                  <c:v>0.63437099218841275</c:v>
                </c:pt>
                <c:pt idx="1">
                  <c:v>0.59082022158085845</c:v>
                </c:pt>
                <c:pt idx="2">
                  <c:v>0.46430814318610031</c:v>
                </c:pt>
                <c:pt idx="3">
                  <c:v>0.38217596357131284</c:v>
                </c:pt>
                <c:pt idx="4">
                  <c:v>0.3996265172735774</c:v>
                </c:pt>
                <c:pt idx="5">
                  <c:v>0.44174799964828976</c:v>
                </c:pt>
                <c:pt idx="6">
                  <c:v>0.50261418467843222</c:v>
                </c:pt>
                <c:pt idx="7">
                  <c:v>0.42238512183533605</c:v>
                </c:pt>
                <c:pt idx="8">
                  <c:v>0.41559589767770838</c:v>
                </c:pt>
                <c:pt idx="9">
                  <c:v>0.41232423490488118</c:v>
                </c:pt>
              </c:numCache>
            </c:numRef>
          </c:val>
          <c:smooth val="0"/>
          <c:extLst xmlns:c16r2="http://schemas.microsoft.com/office/drawing/2015/06/chart">
            <c:ext xmlns:c16="http://schemas.microsoft.com/office/drawing/2014/chart" uri="{C3380CC4-5D6E-409C-BE32-E72D297353CC}">
              <c16:uniqueId val="{00000002-12EE-4B66-96F8-BCE8A2F518EC}"/>
            </c:ext>
          </c:extLst>
        </c:ser>
        <c:ser>
          <c:idx val="3"/>
          <c:order val="3"/>
          <c:tx>
            <c:strRef>
              <c:f>客源结构!$B$8</c:f>
              <c:strCache>
                <c:ptCount val="1"/>
                <c:pt idx="0">
                  <c:v>华东</c:v>
                </c:pt>
              </c:strCache>
            </c:strRef>
          </c:tx>
          <c:spPr>
            <a:ln w="12700" cap="rnd">
              <a:solidFill>
                <a:schemeClr val="dk1">
                  <a:tint val="98500"/>
                </a:schemeClr>
              </a:solidFill>
              <a:round/>
            </a:ln>
            <a:effectLst/>
          </c:spPr>
          <c:marker>
            <c:symbol val="triangle"/>
            <c:size val="5"/>
            <c:spPr>
              <a:solidFill>
                <a:schemeClr val="dk1">
                  <a:tint val="98500"/>
                </a:schemeClr>
              </a:solidFill>
              <a:ln w="9525">
                <a:solidFill>
                  <a:schemeClr val="dk1">
                    <a:tint val="98500"/>
                  </a:schemeClr>
                </a:solidFill>
              </a:ln>
              <a:effectLst/>
            </c:spPr>
          </c:marker>
          <c:cat>
            <c:numRef>
              <c:f>客源结构!$C$4:$L$4</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客源结构!$C$8:$L$8</c:f>
              <c:numCache>
                <c:formatCode>0.00_);[Red]\(0.00\)</c:formatCode>
                <c:ptCount val="10"/>
                <c:pt idx="0">
                  <c:v>0.33562010712814266</c:v>
                </c:pt>
                <c:pt idx="1">
                  <c:v>0.20782100007452114</c:v>
                </c:pt>
                <c:pt idx="2">
                  <c:v>0.26206148994875894</c:v>
                </c:pt>
                <c:pt idx="3">
                  <c:v>0.26206148994875894</c:v>
                </c:pt>
                <c:pt idx="4">
                  <c:v>0.28419161187568931</c:v>
                </c:pt>
                <c:pt idx="5">
                  <c:v>0.26107880489272184</c:v>
                </c:pt>
                <c:pt idx="6">
                  <c:v>0.26439505236718625</c:v>
                </c:pt>
                <c:pt idx="7">
                  <c:v>0.23226604191071196</c:v>
                </c:pt>
                <c:pt idx="8">
                  <c:v>0.29373487672487147</c:v>
                </c:pt>
                <c:pt idx="9">
                  <c:v>0.30183522061694651</c:v>
                </c:pt>
              </c:numCache>
            </c:numRef>
          </c:val>
          <c:smooth val="0"/>
          <c:extLst xmlns:c16r2="http://schemas.microsoft.com/office/drawing/2015/06/chart">
            <c:ext xmlns:c16="http://schemas.microsoft.com/office/drawing/2014/chart" uri="{C3380CC4-5D6E-409C-BE32-E72D297353CC}">
              <c16:uniqueId val="{00000003-12EE-4B66-96F8-BCE8A2F518EC}"/>
            </c:ext>
          </c:extLst>
        </c:ser>
        <c:ser>
          <c:idx val="4"/>
          <c:order val="4"/>
          <c:tx>
            <c:strRef>
              <c:f>客源结构!$B$9</c:f>
              <c:strCache>
                <c:ptCount val="1"/>
                <c:pt idx="0">
                  <c:v>西部</c:v>
                </c:pt>
              </c:strCache>
            </c:strRef>
          </c:tx>
          <c:spPr>
            <a:ln w="12700" cap="rnd">
              <a:solidFill>
                <a:schemeClr val="dk1">
                  <a:tint val="30000"/>
                </a:schemeClr>
              </a:solidFill>
              <a:round/>
            </a:ln>
            <a:effectLst/>
          </c:spPr>
          <c:marker>
            <c:symbol val="square"/>
            <c:size val="5"/>
            <c:spPr>
              <a:solidFill>
                <a:schemeClr val="dk1">
                  <a:tint val="30000"/>
                </a:schemeClr>
              </a:solidFill>
              <a:ln w="9525">
                <a:solidFill>
                  <a:schemeClr val="dk1">
                    <a:tint val="30000"/>
                  </a:schemeClr>
                </a:solidFill>
              </a:ln>
              <a:effectLst/>
            </c:spPr>
          </c:marker>
          <c:cat>
            <c:numRef>
              <c:f>客源结构!$C$4:$L$4</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客源结构!$C$9:$L$9</c:f>
              <c:numCache>
                <c:formatCode>0.00_);[Red]\(0.00\)</c:formatCode>
                <c:ptCount val="10"/>
                <c:pt idx="0">
                  <c:v>0.41694804669949381</c:v>
                </c:pt>
                <c:pt idx="1">
                  <c:v>0.22451166580954968</c:v>
                </c:pt>
                <c:pt idx="2">
                  <c:v>0.31723665151180197</c:v>
                </c:pt>
                <c:pt idx="3">
                  <c:v>0.26216022652517579</c:v>
                </c:pt>
                <c:pt idx="4">
                  <c:v>0.37845204802592408</c:v>
                </c:pt>
                <c:pt idx="5">
                  <c:v>2.2764378647726771</c:v>
                </c:pt>
                <c:pt idx="6">
                  <c:v>0.32456045415001838</c:v>
                </c:pt>
                <c:pt idx="7">
                  <c:v>0.36663629788620788</c:v>
                </c:pt>
                <c:pt idx="8">
                  <c:v>0.53300790942825416</c:v>
                </c:pt>
                <c:pt idx="9">
                  <c:v>0.550002739786152</c:v>
                </c:pt>
              </c:numCache>
            </c:numRef>
          </c:val>
          <c:smooth val="0"/>
          <c:extLst xmlns:c16r2="http://schemas.microsoft.com/office/drawing/2015/06/chart">
            <c:ext xmlns:c16="http://schemas.microsoft.com/office/drawing/2014/chart" uri="{C3380CC4-5D6E-409C-BE32-E72D297353CC}">
              <c16:uniqueId val="{00000004-12EE-4B66-96F8-BCE8A2F518EC}"/>
            </c:ext>
          </c:extLst>
        </c:ser>
        <c:dLbls>
          <c:showLegendKey val="0"/>
          <c:showVal val="0"/>
          <c:showCatName val="0"/>
          <c:showSerName val="0"/>
          <c:showPercent val="0"/>
          <c:showBubbleSize val="0"/>
        </c:dLbls>
        <c:marker val="1"/>
        <c:smooth val="0"/>
        <c:axId val="360488320"/>
        <c:axId val="366946176"/>
      </c:lineChart>
      <c:catAx>
        <c:axId val="360488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（年份）</a:t>
                </a:r>
              </a:p>
            </c:rich>
          </c:tx>
          <c:layout>
            <c:manualLayout>
              <c:xMode val="edge"/>
              <c:yMode val="edge"/>
              <c:x val="0.84282520621723767"/>
              <c:y val="0.80150401046369701"/>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66946176"/>
        <c:crosses val="autoZero"/>
        <c:auto val="1"/>
        <c:lblAlgn val="ctr"/>
        <c:lblOffset val="100"/>
        <c:noMultiLvlLbl val="0"/>
      </c:catAx>
      <c:valAx>
        <c:axId val="366946176"/>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a:t>
                </a:r>
                <a:r>
                  <a:rPr lang="en-US" altLang="zh-CN"/>
                  <a:t>Q</a:t>
                </a:r>
                <a:r>
                  <a:rPr lang="zh-CN" altLang="en-US"/>
                  <a:t>值）</a:t>
                </a:r>
              </a:p>
            </c:rich>
          </c:tx>
          <c:layout>
            <c:manualLayout>
              <c:xMode val="edge"/>
              <c:yMode val="edge"/>
              <c:x val="0"/>
              <c:y val="3.6866811339607494E-2"/>
            </c:manualLayout>
          </c:layout>
          <c:overlay val="0"/>
          <c:spPr>
            <a:noFill/>
            <a:ln>
              <a:noFill/>
            </a:ln>
            <a:effectLst/>
          </c:spPr>
        </c:title>
        <c:numFmt formatCode="0.00_ " sourceLinked="1"/>
        <c:majorTickMark val="cross"/>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6048832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842825896762924"/>
          <c:y val="0.1481481481481485"/>
          <c:w val="0.73546062992125805"/>
          <c:h val="0.63854913969087501"/>
        </c:manualLayout>
      </c:layout>
      <c:lineChart>
        <c:grouping val="standard"/>
        <c:varyColors val="0"/>
        <c:ser>
          <c:idx val="0"/>
          <c:order val="0"/>
          <c:tx>
            <c:strRef>
              <c:f>Sheet1!$B$8</c:f>
              <c:strCache>
                <c:ptCount val="1"/>
                <c:pt idx="0">
                  <c:v>占全国入境旅游人数比例</c:v>
                </c:pt>
              </c:strCache>
            </c:strRef>
          </c:tx>
          <c:spPr>
            <a:ln w="28575" cap="rnd">
              <a:solidFill>
                <a:schemeClr val="dk1">
                  <a:tint val="88500"/>
                </a:schemeClr>
              </a:solidFill>
              <a:round/>
            </a:ln>
            <a:effectLst/>
          </c:spPr>
          <c:marker>
            <c:symbol val="square"/>
            <c:size val="5"/>
            <c:spPr>
              <a:solidFill>
                <a:schemeClr val="dk1">
                  <a:tint val="88500"/>
                </a:schemeClr>
              </a:solidFill>
              <a:ln w="9525">
                <a:solidFill>
                  <a:schemeClr val="dk1">
                    <a:tint val="88500"/>
                  </a:schemeClr>
                </a:solidFill>
              </a:ln>
              <a:effectLst/>
            </c:spPr>
          </c:marker>
          <c:dLbls>
            <c:delete val="1"/>
          </c:dLbls>
          <c:cat>
            <c:numRef>
              <c:f>Sheet1!$C$7:$M$7</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Sheet1!$C$8:$M$8</c:f>
              <c:numCache>
                <c:formatCode>0.00%</c:formatCode>
                <c:ptCount val="11"/>
                <c:pt idx="0">
                  <c:v>1.4227246060375152E-2</c:v>
                </c:pt>
                <c:pt idx="1">
                  <c:v>1.5612713111751964E-2</c:v>
                </c:pt>
                <c:pt idx="2">
                  <c:v>1.3419479278982783E-2</c:v>
                </c:pt>
                <c:pt idx="3">
                  <c:v>1.4324674683879301E-2</c:v>
                </c:pt>
                <c:pt idx="4">
                  <c:v>2.4844088987770852E-2</c:v>
                </c:pt>
                <c:pt idx="5">
                  <c:v>3.1655832508215451E-2</c:v>
                </c:pt>
                <c:pt idx="6">
                  <c:v>3.7885190396457012E-2</c:v>
                </c:pt>
                <c:pt idx="7">
                  <c:v>4.0725825819776913E-2</c:v>
                </c:pt>
                <c:pt idx="8">
                  <c:v>3.3432348910452596E-2</c:v>
                </c:pt>
                <c:pt idx="9">
                  <c:v>3.5658347033328402E-2</c:v>
                </c:pt>
                <c:pt idx="10">
                  <c:v>4.0433333333333515E-2</c:v>
                </c:pt>
              </c:numCache>
            </c:numRef>
          </c:val>
          <c:smooth val="0"/>
          <c:extLst xmlns:c16r2="http://schemas.microsoft.com/office/drawing/2015/06/chart">
            <c:ext xmlns:c16="http://schemas.microsoft.com/office/drawing/2014/chart" uri="{C3380CC4-5D6E-409C-BE32-E72D297353CC}">
              <c16:uniqueId val="{00000000-36FE-4DF9-8F0F-3F00AB73F6E0}"/>
            </c:ext>
          </c:extLst>
        </c:ser>
        <c:ser>
          <c:idx val="1"/>
          <c:order val="1"/>
          <c:tx>
            <c:strRef>
              <c:f>Sheet1!$B$9</c:f>
              <c:strCache>
                <c:ptCount val="1"/>
                <c:pt idx="0">
                  <c:v>占全国入境旅游收入比例</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dLbls>
            <c:delete val="1"/>
          </c:dLbls>
          <c:cat>
            <c:numRef>
              <c:f>Sheet1!$C$7:$M$7</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Sheet1!$C$9:$M$9</c:f>
              <c:numCache>
                <c:formatCode>0.00%</c:formatCode>
                <c:ptCount val="11"/>
                <c:pt idx="0">
                  <c:v>2.1090459218239131E-2</c:v>
                </c:pt>
                <c:pt idx="1">
                  <c:v>2.0563467639972341E-2</c:v>
                </c:pt>
                <c:pt idx="2">
                  <c:v>2.0174815757902212E-2</c:v>
                </c:pt>
                <c:pt idx="3">
                  <c:v>2.3667296786389416E-2</c:v>
                </c:pt>
                <c:pt idx="4">
                  <c:v>3.0994892390972188E-2</c:v>
                </c:pt>
                <c:pt idx="5">
                  <c:v>3.7347309343017498E-2</c:v>
                </c:pt>
                <c:pt idx="6">
                  <c:v>4.3975373790677036E-2</c:v>
                </c:pt>
                <c:pt idx="7">
                  <c:v>4.4770052647878623E-2</c:v>
                </c:pt>
                <c:pt idx="8">
                  <c:v>1.8675270449800763E-2</c:v>
                </c:pt>
                <c:pt idx="9">
                  <c:v>2.3589969203695549E-2</c:v>
                </c:pt>
                <c:pt idx="10">
                  <c:v>2.5183333333333342E-2</c:v>
                </c:pt>
              </c:numCache>
            </c:numRef>
          </c:val>
          <c:smooth val="0"/>
          <c:extLst xmlns:c16r2="http://schemas.microsoft.com/office/drawing/2015/06/chart">
            <c:ext xmlns:c16="http://schemas.microsoft.com/office/drawing/2014/chart" uri="{C3380CC4-5D6E-409C-BE32-E72D297353CC}">
              <c16:uniqueId val="{00000004-36FE-4DF9-8F0F-3F00AB73F6E0}"/>
            </c:ext>
          </c:extLst>
        </c:ser>
        <c:dLbls>
          <c:showLegendKey val="0"/>
          <c:showVal val="1"/>
          <c:showCatName val="0"/>
          <c:showSerName val="0"/>
          <c:showPercent val="0"/>
          <c:showBubbleSize val="0"/>
        </c:dLbls>
        <c:marker val="1"/>
        <c:smooth val="0"/>
        <c:axId val="360476032"/>
        <c:axId val="366991232"/>
      </c:lineChart>
      <c:catAx>
        <c:axId val="36047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（年份）</a:t>
                </a:r>
              </a:p>
            </c:rich>
          </c:tx>
          <c:layout>
            <c:manualLayout>
              <c:xMode val="edge"/>
              <c:yMode val="edge"/>
              <c:x val="0.84199190726159512"/>
              <c:y val="0.79224482356372306"/>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66991232"/>
        <c:crosses val="autoZero"/>
        <c:auto val="1"/>
        <c:lblAlgn val="ctr"/>
        <c:lblOffset val="100"/>
        <c:noMultiLvlLbl val="0"/>
      </c:catAx>
      <c:valAx>
        <c:axId val="36699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latin typeface="宋体" panose="02010600030101010101" pitchFamily="2" charset="-122"/>
                    <a:ea typeface="宋体" panose="02010600030101010101" pitchFamily="2" charset="-122"/>
                  </a:rPr>
                  <a:t>（</a:t>
                </a:r>
                <a:r>
                  <a:rPr lang="en-US" altLang="zh-CN">
                    <a:latin typeface="宋体" panose="02010600030101010101" pitchFamily="2" charset="-122"/>
                    <a:ea typeface="宋体" panose="02010600030101010101" pitchFamily="2" charset="-122"/>
                  </a:rPr>
                  <a:t>%</a:t>
                </a:r>
                <a:r>
                  <a:rPr lang="zh-CN" altLang="en-US">
                    <a:latin typeface="宋体" panose="02010600030101010101" pitchFamily="2" charset="-122"/>
                    <a:ea typeface="宋体" panose="02010600030101010101" pitchFamily="2" charset="-122"/>
                  </a:rPr>
                  <a:t>）</a:t>
                </a:r>
              </a:p>
            </c:rich>
          </c:tx>
          <c:layout>
            <c:manualLayout>
              <c:xMode val="edge"/>
              <c:yMode val="edge"/>
              <c:x val="2.5000000000000001E-2"/>
              <c:y val="4.1496792067658224E-2"/>
            </c:manualLayout>
          </c:layout>
          <c:overlay val="0"/>
          <c:spPr>
            <a:noFill/>
            <a:ln>
              <a:noFill/>
            </a:ln>
            <a:effectLst/>
          </c:spPr>
        </c:title>
        <c:numFmt formatCode="0.00%" sourceLinked="1"/>
        <c:majorTickMark val="cross"/>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6047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85201-5361-4AA3-BE33-2978A05D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16</Pages>
  <Words>2251</Words>
  <Characters>12836</Characters>
  <Application>Microsoft Office Word</Application>
  <DocSecurity>0</DocSecurity>
  <Lines>106</Lines>
  <Paragraphs>30</Paragraphs>
  <ScaleCrop>false</ScaleCrop>
  <Company/>
  <LinksUpToDate>false</LinksUpToDate>
  <CharactersWithSpaces>15057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张建华</cp:lastModifiedBy>
  <cp:revision>68</cp:revision>
  <cp:lastPrinted>2017-06-30T02:22:00Z</cp:lastPrinted>
  <dcterms:created xsi:type="dcterms:W3CDTF">2017-06-27T18:29:00Z</dcterms:created>
  <dcterms:modified xsi:type="dcterms:W3CDTF">2017-12-05T03:17:00Z</dcterms:modified>
</cp:coreProperties>
</file>